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pPr>
      <w:r>
        <w:rPr>
          <w:b/>
          <w:sz w:val="18"/>
        </w:rPr>
        <w:t>YOU IN EUROPE</w:t>
      </w:r>
    </w:p>
    <w:p>
      <w:pPr>
        <w:pStyle w:val="Style14"/>
        <w:spacing w:before="0" w:after="30"/>
        <w:contextualSpacing/>
        <w:rPr/>
      </w:pPr>
      <w:r>
        <w:rPr/>
        <w:t>Ετήσιος Απολογισμός Δράσης &amp; Διαφάνειας 2023</w:t>
      </w:r>
    </w:p>
    <w:p>
      <w:pPr>
        <w:pStyle w:val="Normal"/>
        <w:spacing w:before="0" w:after="140"/>
        <w:rPr/>
      </w:pPr>
      <w:r>
        <w:rPr>
          <w:b/>
          <w:sz w:val="22"/>
        </w:rPr>
        <w:t xml:space="preserve">Περισσότερες ευκαιρίες, μεγαλύτερη </w:t>
      </w:r>
      <w:r>
        <w:rPr>
          <w:b/>
          <w:sz w:val="22"/>
        </w:rPr>
        <w:t>E</w:t>
      </w:r>
      <w:r>
        <w:rPr>
          <w:b/>
          <w:sz w:val="22"/>
        </w:rPr>
        <w:t>υρωπαϊκή παρουσία</w:t>
      </w:r>
    </w:p>
    <w:p>
      <w:pPr>
        <w:pStyle w:val="Normal"/>
        <w:spacing w:before="0" w:after="84"/>
        <w:jc w:val="both"/>
        <w:rPr/>
      </w:pPr>
      <w:r>
        <w:rPr/>
        <w:t xml:space="preserve">Το 2023 ήταν χρονιά έντονης κινητικότητας και ταυτόχρονα ένα σημείο μετάβασης. Συνεχίσαμε να ανοίγουμε πολλές ευκαιρίες για νέους από όλη την Ελλάδα, ενώ παράλληλα αναλάβαμε πιο σταθερό ρόλο σε </w:t>
      </w:r>
      <w:r>
        <w:rPr/>
        <w:t>E</w:t>
      </w:r>
      <w:r>
        <w:rPr/>
        <w:t>υρωπαϊκές συνεργασίες με μεγαλύτερη διάρκεια και πιο καθαρό κοινωνικό αποτέλεσμα.</w:t>
      </w:r>
    </w:p>
    <w:p>
      <w:pPr>
        <w:pStyle w:val="1"/>
        <w:jc w:val="left"/>
        <w:rPr/>
      </w:pPr>
      <w:r>
        <w:rPr/>
        <w:t>Ποιοι είμαστε και ποιος έχει την ευθύνη</w:t>
      </w:r>
    </w:p>
    <w:p>
      <w:pPr>
        <w:pStyle w:val="Normal"/>
        <w:spacing w:before="0" w:after="84"/>
        <w:jc w:val="both"/>
        <w:rPr/>
      </w:pPr>
      <w:r>
        <w:rPr/>
        <w:t>Το You in Europe είναι Αστική Μη Κερδοσκοπική Εταιρεία με έδρα τα Νέα Μουδανιά Χαλκιδικής. Η Γενική Συνέλευση των εταίρων είναι το καταστατικό εταιρικό όργανο. Οι τρεις εταίροι – Γρηγόριος Κυριάκου, Σταυρούλα Παγώνα και Βασίλειος Στούλος – είναι ταυτόχρονα διαχειριστές με δικαίωμα υπογραφής. Στην καθημερινή λειτουργία οι διαχειριστές έχουν σταθερό εβδομαδιαίο συντονισμό.</w:t>
      </w:r>
    </w:p>
    <w:p>
      <w:pPr>
        <w:pStyle w:val="1"/>
        <w:jc w:val="left"/>
        <w:rPr/>
      </w:pPr>
      <w:r>
        <w:rPr/>
        <w:t>Η χρονιά με μια ματιά</w:t>
      </w:r>
    </w:p>
    <w:tbl>
      <w:tblPr>
        <w:tblW w:w="10310" w:type="dxa"/>
        <w:jc w:val="center"/>
        <w:tblInd w:w="0" w:type="dxa"/>
        <w:tblCellMar>
          <w:top w:w="80" w:type="dxa"/>
          <w:left w:w="100" w:type="dxa"/>
          <w:bottom w:w="80" w:type="dxa"/>
          <w:right w:w="100" w:type="dxa"/>
        </w:tblCellMar>
        <w:tblLook w:firstRow="1" w:noVBand="1" w:lastRow="0" w:firstColumn="1" w:lastColumn="0" w:noHBand="0" w:val="04a0"/>
      </w:tblPr>
      <w:tblGrid>
        <w:gridCol w:w="2062"/>
        <w:gridCol w:w="2062"/>
        <w:gridCol w:w="2062"/>
        <w:gridCol w:w="2062"/>
        <w:gridCol w:w="2062"/>
      </w:tblGrid>
      <w:tr>
        <w:trPr/>
        <w:tc>
          <w:tcPr>
            <w:tcW w:w="2062" w:type="dxa"/>
            <w:tcBorders/>
            <w:shd w:fill="EEF2F4"/>
          </w:tcPr>
          <w:p>
            <w:pPr>
              <w:pStyle w:val="Normal"/>
              <w:spacing w:before="0" w:after="84"/>
              <w:jc w:val="center"/>
              <w:rPr/>
            </w:pPr>
            <w:r>
              <w:rPr>
                <w:b/>
                <w:sz w:val="23"/>
              </w:rPr>
              <w:t>1.619</w:t>
            </w:r>
          </w:p>
        </w:tc>
        <w:tc>
          <w:tcPr>
            <w:tcW w:w="2062" w:type="dxa"/>
            <w:tcBorders/>
            <w:shd w:fill="EEF2F4"/>
          </w:tcPr>
          <w:p>
            <w:pPr>
              <w:pStyle w:val="Normal"/>
              <w:spacing w:before="0" w:after="84"/>
              <w:jc w:val="center"/>
              <w:rPr/>
            </w:pPr>
            <w:r>
              <w:rPr>
                <w:b/>
                <w:sz w:val="23"/>
              </w:rPr>
              <w:t>1.260</w:t>
            </w:r>
          </w:p>
        </w:tc>
        <w:tc>
          <w:tcPr>
            <w:tcW w:w="2062" w:type="dxa"/>
            <w:tcBorders/>
            <w:shd w:fill="EEF2F4"/>
          </w:tcPr>
          <w:p>
            <w:pPr>
              <w:pStyle w:val="Normal"/>
              <w:spacing w:before="0" w:after="84"/>
              <w:jc w:val="center"/>
              <w:rPr/>
            </w:pPr>
            <w:r>
              <w:rPr>
                <w:b/>
                <w:sz w:val="23"/>
              </w:rPr>
              <w:t>45</w:t>
            </w:r>
          </w:p>
        </w:tc>
        <w:tc>
          <w:tcPr>
            <w:tcW w:w="2062" w:type="dxa"/>
            <w:tcBorders/>
            <w:shd w:fill="EEF2F4"/>
          </w:tcPr>
          <w:p>
            <w:pPr>
              <w:pStyle w:val="Normal"/>
              <w:spacing w:before="0" w:after="84"/>
              <w:jc w:val="center"/>
              <w:rPr/>
            </w:pPr>
            <w:r>
              <w:rPr>
                <w:b/>
                <w:sz w:val="23"/>
              </w:rPr>
              <w:t>158</w:t>
            </w:r>
          </w:p>
        </w:tc>
        <w:tc>
          <w:tcPr>
            <w:tcW w:w="2062" w:type="dxa"/>
            <w:tcBorders/>
            <w:shd w:fill="EEF2F4"/>
          </w:tcPr>
          <w:p>
            <w:pPr>
              <w:pStyle w:val="Normal"/>
              <w:spacing w:before="0" w:after="84"/>
              <w:jc w:val="center"/>
              <w:rPr/>
            </w:pPr>
            <w:r>
              <w:rPr>
                <w:b/>
                <w:sz w:val="23"/>
              </w:rPr>
              <w:t>4,22/5</w:t>
            </w:r>
          </w:p>
        </w:tc>
      </w:tr>
      <w:tr>
        <w:trPr/>
        <w:tc>
          <w:tcPr>
            <w:tcW w:w="2062" w:type="dxa"/>
            <w:tcBorders/>
          </w:tcPr>
          <w:p>
            <w:pPr>
              <w:pStyle w:val="Normal"/>
              <w:spacing w:before="0" w:after="84"/>
              <w:jc w:val="center"/>
              <w:rPr/>
            </w:pPr>
            <w:r>
              <w:rPr>
                <w:b w:val="false"/>
                <w:sz w:val="15"/>
              </w:rPr>
              <w:t>Καθαρές αιτήσεις</w:t>
            </w:r>
          </w:p>
        </w:tc>
        <w:tc>
          <w:tcPr>
            <w:tcW w:w="2062" w:type="dxa"/>
            <w:tcBorders/>
          </w:tcPr>
          <w:p>
            <w:pPr>
              <w:pStyle w:val="Normal"/>
              <w:spacing w:before="0" w:after="84"/>
              <w:jc w:val="center"/>
              <w:rPr/>
            </w:pPr>
            <w:r>
              <w:rPr>
                <w:b w:val="false"/>
                <w:sz w:val="15"/>
              </w:rPr>
              <w:t>Διαφορετικά άτομα</w:t>
            </w:r>
          </w:p>
        </w:tc>
        <w:tc>
          <w:tcPr>
            <w:tcW w:w="2062" w:type="dxa"/>
            <w:tcBorders/>
          </w:tcPr>
          <w:p>
            <w:pPr>
              <w:pStyle w:val="Normal"/>
              <w:spacing w:before="0" w:after="84"/>
              <w:jc w:val="center"/>
              <w:rPr/>
            </w:pPr>
            <w:r>
              <w:rPr>
                <w:b w:val="false"/>
                <w:sz w:val="15"/>
              </w:rPr>
              <w:t>Ανοιχτές ευκαιρίες</w:t>
            </w:r>
          </w:p>
        </w:tc>
        <w:tc>
          <w:tcPr>
            <w:tcW w:w="2062" w:type="dxa"/>
            <w:tcBorders/>
          </w:tcPr>
          <w:p>
            <w:pPr>
              <w:pStyle w:val="Normal"/>
              <w:spacing w:before="0" w:after="84"/>
              <w:jc w:val="center"/>
              <w:rPr/>
            </w:pPr>
            <w:r>
              <w:rPr>
                <w:b w:val="false"/>
                <w:sz w:val="15"/>
              </w:rPr>
              <w:t>Αξιολογήσεις συμμετεχόντων</w:t>
            </w:r>
          </w:p>
        </w:tc>
        <w:tc>
          <w:tcPr>
            <w:tcW w:w="2062" w:type="dxa"/>
            <w:tcBorders/>
          </w:tcPr>
          <w:p>
            <w:pPr>
              <w:pStyle w:val="Normal"/>
              <w:spacing w:before="0" w:after="84"/>
              <w:jc w:val="center"/>
              <w:rPr/>
            </w:pPr>
            <w:r>
              <w:rPr>
                <w:b w:val="false"/>
                <w:sz w:val="15"/>
              </w:rPr>
              <w:t>Μέσος δείκτης</w:t>
            </w:r>
          </w:p>
        </w:tc>
      </w:tr>
    </w:tbl>
    <w:p>
      <w:pPr>
        <w:pStyle w:val="Normal"/>
        <w:spacing w:before="0" w:after="84"/>
        <w:jc w:val="both"/>
        <w:rPr/>
      </w:pPr>
      <w:r>
        <w:rPr>
          <w:sz w:val="17"/>
        </w:rPr>
        <w:t>Οι αιτήσεις δείχνουν την εμβέλεια και το ενδιαφέρον που κινητοποιούν οι ευκαιρίες μας. Οι αξιολογήσεις προέρχονται από ανθρώπους που πήραν μέρος σε δράσεις και δείχνουν πώς βίωσαν την εμπειρία. Γι’ αυτό τα δύο μεγέθη παρουσιάζονται χωριστά και συμπληρωματικά.</w:t>
      </w:r>
    </w:p>
    <w:p>
      <w:pPr>
        <w:pStyle w:val="1"/>
        <w:jc w:val="left"/>
        <w:rPr/>
      </w:pPr>
      <w:r>
        <w:rPr/>
        <w:t>Η ομάδα της χρονιάς</w:t>
      </w:r>
    </w:p>
    <w:p>
      <w:pPr>
        <w:pStyle w:val="Normal"/>
        <w:spacing w:before="0" w:after="84"/>
        <w:jc w:val="both"/>
        <w:rPr/>
      </w:pPr>
      <w:r>
        <w:rPr/>
        <w:t xml:space="preserve">Το σχήμα προσωπικού της χρονιάς περιλάμβανε 5 εργαζομένους πλήρους απασχόλησης και 1 εργαζόμενο μερικής απασχόλησης. Οι βασικοί ρόλοι κάλυπταν διαχείριση </w:t>
      </w:r>
      <w:r>
        <w:rPr/>
        <w:t>E</w:t>
      </w:r>
      <w:r>
        <w:rPr/>
        <w:t>υρωπαϊκών έργων, δουλειά με νέους, κινητικότητες και εθελοντισμό, επικοινωνία, διοικητική υποστήριξη και οικονομική παρακολούθηση.</w:t>
      </w:r>
    </w:p>
    <w:p>
      <w:pPr>
        <w:pStyle w:val="1"/>
        <w:jc w:val="left"/>
        <w:rPr/>
      </w:pPr>
      <w:r>
        <w:rPr/>
        <w:t>Πώς χρηματοδοτήθηκε η δουλειά μας</w:t>
      </w:r>
    </w:p>
    <w:p>
      <w:pPr>
        <w:pStyle w:val="Normal"/>
        <w:spacing w:before="0" w:after="84"/>
        <w:jc w:val="both"/>
        <w:rPr/>
      </w:pPr>
      <w:r>
        <w:rPr/>
        <w:t xml:space="preserve">Οι δράσεις της χρονιάς στηρίχθηκαν κυρίως μέσα από τα </w:t>
      </w:r>
      <w:r>
        <w:rPr/>
        <w:t>E</w:t>
      </w:r>
      <w:r>
        <w:rPr/>
        <w:t>υρωπαϊκά προγράμματα Erasmus+, Ευρωπαϊκό Σώμα Αλληλεγγύης και CERV, καθώς και μέσα από διακρατικές συνεργασίες με οργανώσεις της κοινωνίας των πολιτών. Στον δημόσιο απολογισμό αναφέρουμε τις πηγές και τα είδη χρηματοδότησης, όχι τα απόλυτα ποσά ανά πρόγραμμα ή τον συνολικό ετήσιο κύκλο εργασιών.</w:t>
      </w:r>
    </w:p>
    <w:p>
      <w:pPr>
        <w:pStyle w:val="1"/>
        <w:jc w:val="left"/>
        <w:rPr/>
      </w:pPr>
      <w:r>
        <w:rPr/>
        <w:t>Τι κάναμε στην πράξη</w:t>
      </w:r>
    </w:p>
    <w:p>
      <w:pPr>
        <w:pStyle w:val="Normal"/>
        <w:spacing w:before="0" w:after="84"/>
        <w:jc w:val="both"/>
        <w:rPr/>
      </w:pPr>
      <w:r>
        <w:rPr/>
        <w:t>Οι τίτλοι των ευρωπαϊκών προγραμμάτων από μόνοι τους δεν λένε πολλά. Γι’ αυτό κρατάμε όσα χαρακτήρισαν πραγματικά τη χρονιά και εξηγούμε με απλά λόγια τι ήταν το καθένα.</w:t>
      </w:r>
    </w:p>
    <w:p>
      <w:pPr>
        <w:pStyle w:val="2"/>
        <w:jc w:val="left"/>
        <w:rPr/>
      </w:pPr>
      <w:r>
        <w:rPr/>
        <w:t>Get the Net</w:t>
      </w:r>
    </w:p>
    <w:p>
      <w:pPr>
        <w:pStyle w:val="Normal"/>
        <w:spacing w:before="0" w:after="64"/>
        <w:jc w:val="both"/>
        <w:rPr/>
      </w:pPr>
      <w:r>
        <w:rPr/>
        <w:t>Το Get the Net είναι ένα ευρωπαϊκό δίκτυο 11 οργανώσεων νεολαίας από 11 χώρες, με συντονιστή το You in Europe. Οι οργανώσεις δουλεύουν πάνω σε κοινούς στόχους γύρω από τη δημοκρατική συμμετοχή των νέων, συντονίζουν τοπικές δράσεις και ανταλλάσσουν εργαλεία και εμπειρία.</w:t>
      </w:r>
    </w:p>
    <w:p>
      <w:pPr>
        <w:pStyle w:val="2"/>
        <w:jc w:val="left"/>
        <w:rPr/>
      </w:pPr>
      <w:r>
        <w:rPr/>
        <w:t>Leave Your Mark (LYM)</w:t>
      </w:r>
    </w:p>
    <w:p>
      <w:pPr>
        <w:pStyle w:val="Normal"/>
        <w:spacing w:before="0" w:after="64"/>
        <w:jc w:val="both"/>
        <w:rPr/>
      </w:pPr>
      <w:r>
        <w:rPr/>
        <w:t>Μια συνεργασία 10 οργανώσεων από 9 χώρες της Ευρωπαϊκής Ένωσης, με επίκεντρο τη δημοκρατική συμμετοχή και την ποιοτική ενημέρωση. Στόχος ήταν οι νέοι και οι πολίτες να καταλαβαίνουν καλύτερα πώς λειτουργεί η Ευρώπη, να ξεχωρίζουν την αξιόπιστη πληροφορία από την παραπληροφόρηση και να συμμετέχουν πιο ουσιαστικά στη δημόσια ζωή.</w:t>
      </w:r>
    </w:p>
    <w:p>
      <w:pPr>
        <w:pStyle w:val="2"/>
        <w:jc w:val="left"/>
        <w:rPr/>
      </w:pPr>
      <w:r>
        <w:rPr/>
        <w:t>From Inside Out</w:t>
      </w:r>
    </w:p>
    <w:p>
      <w:pPr>
        <w:pStyle w:val="Normal"/>
        <w:spacing w:before="0" w:after="64"/>
        <w:jc w:val="both"/>
        <w:rPr/>
      </w:pPr>
      <w:r>
        <w:rPr/>
        <w:t>Μια συνεργασία 5 οργανώσεων από Ισλανδία, Ελλάδα, Πορτογαλία, Σλοβενία και Ισπανία για την ψυχική υγεία και την ευεξία των νέων. Δημιουργήθηκε ανοιχτό toolbox με 8 δραστηριότητες μη τυπικής μάθησης για το άγχος, το στίγμα, την παραπληροφόρηση και την αναζήτηση υποστήριξης.</w:t>
      </w:r>
    </w:p>
    <w:p>
      <w:pPr>
        <w:pStyle w:val="2"/>
        <w:jc w:val="left"/>
        <w:rPr/>
      </w:pPr>
      <w:r>
        <w:rPr/>
        <w:t>CITY DEAL – Play for Your Future</w:t>
      </w:r>
    </w:p>
    <w:p>
      <w:pPr>
        <w:pStyle w:val="Normal"/>
        <w:spacing w:before="0" w:after="64"/>
        <w:jc w:val="both"/>
        <w:rPr/>
      </w:pPr>
      <w:r>
        <w:rPr/>
        <w:t>Μια συνεργασία Ελλάδας και Πολωνίας που έκανε την αγωγή του πολίτη πιο βιωματική. Από τη συνεργασία δημιουργήθηκε επιτραπέζιο παιχνίδι για τις βιώσιμες πόλεις, τους κοινούς πόρους και τις αποφάσεις που παίρνουν οι πολίτες για τον τόπο τους.</w:t>
      </w:r>
    </w:p>
    <w:p>
      <w:pPr>
        <w:pStyle w:val="2"/>
        <w:jc w:val="left"/>
        <w:rPr/>
      </w:pPr>
      <w:r>
        <w:rPr/>
        <w:t>Gender Conscious Practice &amp; Youth Work</w:t>
      </w:r>
    </w:p>
    <w:p>
      <w:pPr>
        <w:pStyle w:val="Normal"/>
        <w:spacing w:before="0" w:after="64"/>
        <w:jc w:val="both"/>
        <w:rPr/>
      </w:pPr>
      <w:r>
        <w:rPr/>
        <w:t>Μια ευρωπαϊκή συνεργασία που συντονίστηκε από το You in Europe και δούλεψε πάνω στην ισότητα των φύλων στη δουλειά με νέους. Δημιουργήθηκαν πρακτικά εργαλεία για στερεότυπα, ισότιμη συμμετοχή, διαθεματικότητα, ενεργητική ακρόαση και μη βίαιη επικοινωνία.</w:t>
      </w:r>
    </w:p>
    <w:p>
      <w:pPr>
        <w:pStyle w:val="1"/>
        <w:jc w:val="left"/>
        <w:rPr/>
      </w:pPr>
      <w:r>
        <w:rPr/>
        <w:t>Τι αποτέλεσμα μπορούμε να αποδείξουμε</w:t>
      </w:r>
    </w:p>
    <w:p>
      <w:pPr>
        <w:pStyle w:val="Normal"/>
        <w:spacing w:before="0" w:after="84"/>
        <w:jc w:val="both"/>
        <w:rPr/>
      </w:pPr>
      <w:r>
        <w:rPr/>
        <w:t>Το 2023 συγκεντρώθηκαν 158 καθαρές αξιολογήσεις από ανθρώπους που πήραν μέρος σε δράσεις του You in Europe. Ο μέσος δείκτης της χρονιάς ήταν 4,22/5. Οι αξιολογήσεις αυτές μας δίνουν άμεση εικόνα για την εμπειρία των συμμετεχόντων και συμπληρώνουν τον δείκτη ενδιαφέροντος που αποτυπώνεται στις αιτήσεις.</w:t>
      </w:r>
    </w:p>
    <w:p>
      <w:pPr>
        <w:pStyle w:val="Normal"/>
        <w:spacing w:before="0" w:after="84"/>
        <w:jc w:val="both"/>
        <w:rPr/>
      </w:pPr>
      <w:r>
        <w:rPr>
          <w:sz w:val="17"/>
        </w:rPr>
        <w:t>Στο συνολικό αρχείο αξιολογήσεων του οργανισμού έχουν συγκεντρωθεί 1.090 καθαρές αξιολογήσεις και 11.426 συγκρίσιμες βαθμολογίες σε κλίμακα 1–5. Ο συνολικός μέσος δείκτης είναι περίπου 4,23/5 και το 79,4% των συγκρίσιμων βαθμολογιών βρίσκεται στο 4 ή 5 στα 5.</w:t>
      </w:r>
    </w:p>
    <w:p>
      <w:pPr>
        <w:pStyle w:val="1"/>
        <w:jc w:val="left"/>
        <w:rPr/>
      </w:pPr>
      <w:r>
        <w:rPr/>
        <w:t>Τι έμεινε μετά τα projects</w:t>
      </w:r>
    </w:p>
    <w:p>
      <w:pPr>
        <w:pStyle w:val="ListBullet"/>
        <w:numPr>
          <w:ilvl w:val="0"/>
          <w:numId w:val="1"/>
        </w:numPr>
        <w:jc w:val="both"/>
        <w:rPr/>
      </w:pPr>
      <w:r>
        <w:rPr/>
        <w:t>Ένα σταθερό ευρωπαϊκό δίκτυο 11 οργανώσεων γύρω από τη συμμετοχή των νέων.</w:t>
      </w:r>
    </w:p>
    <w:p>
      <w:pPr>
        <w:pStyle w:val="ListBullet"/>
        <w:numPr>
          <w:ilvl w:val="0"/>
          <w:numId w:val="1"/>
        </w:numPr>
        <w:jc w:val="both"/>
        <w:rPr/>
      </w:pPr>
      <w:r>
        <w:rPr/>
        <w:t>Ανοιχτό toolbox 8 δραστηριοτήτων για την ψυχική υγεία και την ευεξία των νέων από το From Inside Out.</w:t>
      </w:r>
    </w:p>
    <w:p>
      <w:pPr>
        <w:pStyle w:val="ListBullet"/>
        <w:numPr>
          <w:ilvl w:val="0"/>
          <w:numId w:val="1"/>
        </w:numPr>
        <w:jc w:val="both"/>
        <w:rPr/>
      </w:pPr>
      <w:r>
        <w:rPr/>
        <w:t>Η βάση για το εκπαιδευτικό παιχνίδι CITY DEAL και εργαλεία γύρω από την ισότητα των φύλων.</w:t>
      </w:r>
    </w:p>
    <w:p>
      <w:pPr>
        <w:pStyle w:val="ListBullet"/>
        <w:numPr>
          <w:ilvl w:val="0"/>
          <w:numId w:val="1"/>
        </w:numPr>
        <w:jc w:val="both"/>
        <w:rPr/>
      </w:pPr>
      <w:r>
        <w:rPr/>
        <w:t>Πιο σταθερές συνεργασίες που δεν τελειώνουν μαζί με μία μεμονωμένη κινητικότητα.</w:t>
      </w:r>
    </w:p>
    <w:p>
      <w:pPr>
        <w:pStyle w:val="1"/>
        <w:pageBreakBefore w:val="false"/>
        <w:jc w:val="left"/>
        <w:rPr/>
      </w:pPr>
      <w:r>
        <w:rPr/>
        <w:t>Πο</w:t>
      </w:r>
      <w:r>
        <w:rPr>
          <w:lang w:val="el-GR"/>
        </w:rPr>
        <w:t>υ</w:t>
      </w:r>
      <w:r>
        <w:rPr/>
        <w:t xml:space="preserve"> πήγαν οι δαπάνες μας</w:t>
      </w:r>
    </w:p>
    <w:p>
      <w:pPr>
        <w:pStyle w:val="Normal"/>
        <w:spacing w:before="0" w:after="84"/>
        <w:jc w:val="both"/>
        <w:rPr/>
      </w:pPr>
      <w:r>
        <w:rPr/>
        <w:t>Δεν δημοσιεύουμε το συνολικό ύψος των ετήσιων εσόδων. Δημοσιεύουμε όμως την κατανομή των δαπανών, τον τρόπο με τον οποίο «σπάει» το κόστος της ομάδας και έναν δείκτη οικονομικής δραστηριότητας που δείχνει την εξέλιξη χωρίς να αποκαλύπτει απόλυτα ποσά.</w:t>
      </w:r>
    </w:p>
    <w:tbl>
      <w:tblPr>
        <w:tblStyle w:val="TableGrid"/>
        <w:tblW w:w="10310" w:type="dxa"/>
        <w:jc w:val="center"/>
        <w:tblInd w:w="0" w:type="dxa"/>
        <w:tblCellMar>
          <w:top w:w="80" w:type="dxa"/>
          <w:left w:w="100" w:type="dxa"/>
          <w:bottom w:w="80" w:type="dxa"/>
          <w:right w:w="100" w:type="dxa"/>
        </w:tblCellMar>
        <w:tblLook w:firstRow="1" w:noVBand="1" w:lastRow="0" w:firstColumn="1" w:lastColumn="0" w:noHBand="0" w:val="04a0"/>
      </w:tblPr>
      <w:tblGrid>
        <w:gridCol w:w="3436"/>
        <w:gridCol w:w="3437"/>
        <w:gridCol w:w="3437"/>
      </w:tblGrid>
      <w:tr>
        <w:trPr/>
        <w:tc>
          <w:tcPr>
            <w:tcW w:w="3436" w:type="dxa"/>
            <w:tcBorders/>
            <w:shd w:fill="DCE6EA"/>
          </w:tcPr>
          <w:p>
            <w:pPr>
              <w:pStyle w:val="Normal"/>
              <w:spacing w:before="0" w:after="84"/>
              <w:jc w:val="center"/>
              <w:rPr/>
            </w:pPr>
            <w:r>
              <w:rPr>
                <w:b/>
              </w:rPr>
              <w:t>2023</w:t>
            </w:r>
          </w:p>
        </w:tc>
        <w:tc>
          <w:tcPr>
            <w:tcW w:w="3437" w:type="dxa"/>
            <w:tcBorders/>
            <w:shd w:fill="F3F5F6"/>
          </w:tcPr>
          <w:p>
            <w:pPr>
              <w:pStyle w:val="Normal"/>
              <w:spacing w:before="0" w:after="84"/>
              <w:jc w:val="center"/>
              <w:rPr/>
            </w:pPr>
            <w:r>
              <w:rPr>
                <w:b/>
              </w:rPr>
              <w:t>2024</w:t>
            </w:r>
          </w:p>
        </w:tc>
        <w:tc>
          <w:tcPr>
            <w:tcW w:w="3437" w:type="dxa"/>
            <w:tcBorders/>
            <w:shd w:fill="F3F5F6"/>
          </w:tcPr>
          <w:p>
            <w:pPr>
              <w:pStyle w:val="Normal"/>
              <w:spacing w:before="0" w:after="84"/>
              <w:jc w:val="center"/>
              <w:rPr/>
            </w:pPr>
            <w:r>
              <w:rPr>
                <w:b/>
              </w:rPr>
              <w:t>2025</w:t>
            </w:r>
          </w:p>
        </w:tc>
      </w:tr>
      <w:tr>
        <w:trPr/>
        <w:tc>
          <w:tcPr>
            <w:tcW w:w="3436" w:type="dxa"/>
            <w:tcBorders/>
          </w:tcPr>
          <w:p>
            <w:pPr>
              <w:pStyle w:val="Normal"/>
              <w:spacing w:before="0" w:after="84"/>
              <w:jc w:val="center"/>
              <w:rPr/>
            </w:pPr>
            <w:r>
              <w:rPr>
                <w:b/>
                <w:sz w:val="22"/>
              </w:rPr>
              <w:t>100</w:t>
            </w:r>
          </w:p>
        </w:tc>
        <w:tc>
          <w:tcPr>
            <w:tcW w:w="3437" w:type="dxa"/>
            <w:tcBorders/>
          </w:tcPr>
          <w:p>
            <w:pPr>
              <w:pStyle w:val="Normal"/>
              <w:spacing w:before="0" w:after="84"/>
              <w:jc w:val="center"/>
              <w:rPr/>
            </w:pPr>
            <w:r>
              <w:rPr>
                <w:b/>
                <w:sz w:val="22"/>
              </w:rPr>
              <w:t>123</w:t>
            </w:r>
          </w:p>
        </w:tc>
        <w:tc>
          <w:tcPr>
            <w:tcW w:w="3437" w:type="dxa"/>
            <w:tcBorders/>
          </w:tcPr>
          <w:p>
            <w:pPr>
              <w:pStyle w:val="Normal"/>
              <w:spacing w:before="0" w:after="84"/>
              <w:jc w:val="center"/>
              <w:rPr/>
            </w:pPr>
            <w:r>
              <w:rPr>
                <w:b/>
                <w:sz w:val="22"/>
              </w:rPr>
              <w:t>128</w:t>
            </w:r>
          </w:p>
        </w:tc>
      </w:tr>
    </w:tbl>
    <w:p>
      <w:pPr>
        <w:pStyle w:val="Normal"/>
        <w:spacing w:before="0" w:after="84"/>
        <w:jc w:val="both"/>
        <w:rPr/>
      </w:pPr>
      <w:r>
        <w:rPr>
          <w:sz w:val="17"/>
        </w:rPr>
        <w:t>Ο δείκτης χρησιμοποιεί το 2023 ως βάση = 100. Δείχνει μόνο τη σχετική μεταβολή της οικονομικής δραστηριότητας από χρονιά σε χρονιά, όχι τον κύκλο εργασιών ή τα απόλυτα έσοδα.</w:t>
      </w:r>
    </w:p>
    <w:p>
      <w:pPr>
        <w:pStyle w:val="Normal"/>
        <w:rPr/>
      </w:pPr>
      <w:r>
        <w:rPr/>
      </w:r>
      <w:r>
        <w:br w:type="page"/>
      </w:r>
    </w:p>
    <w:tbl>
      <w:tblPr>
        <w:tblStyle w:val="TableGrid"/>
        <w:tblW w:w="10310" w:type="dxa"/>
        <w:jc w:val="center"/>
        <w:tblInd w:w="0" w:type="dxa"/>
        <w:tblCellMar>
          <w:top w:w="80" w:type="dxa"/>
          <w:left w:w="100" w:type="dxa"/>
          <w:bottom w:w="80" w:type="dxa"/>
          <w:right w:w="100" w:type="dxa"/>
        </w:tblCellMar>
        <w:tblLook w:firstRow="1" w:noVBand="1" w:lastRow="0" w:firstColumn="1" w:lastColumn="0" w:noHBand="0" w:val="04a0"/>
      </w:tblPr>
      <w:tblGrid>
        <w:gridCol w:w="3436"/>
        <w:gridCol w:w="3437"/>
        <w:gridCol w:w="3437"/>
      </w:tblGrid>
      <w:tr>
        <w:trPr>
          <w:tblHeader w:val="true"/>
        </w:trPr>
        <w:tc>
          <w:tcPr>
            <w:tcW w:w="3436" w:type="dxa"/>
            <w:tcBorders/>
            <w:shd w:fill="E8EEF1"/>
          </w:tcPr>
          <w:p>
            <w:pPr>
              <w:pStyle w:val="Normal"/>
              <w:pageBreakBefore/>
              <w:spacing w:before="0" w:after="84"/>
              <w:jc w:val="center"/>
              <w:rPr/>
            </w:pPr>
            <w:r>
              <w:rPr>
                <w:b/>
                <w:sz w:val="17"/>
              </w:rPr>
              <w:t>Πού πήγαν οι δαπάνες</w:t>
            </w:r>
          </w:p>
        </w:tc>
        <w:tc>
          <w:tcPr>
            <w:tcW w:w="3437" w:type="dxa"/>
            <w:tcBorders/>
            <w:shd w:fill="E8EEF1"/>
          </w:tcPr>
          <w:p>
            <w:pPr>
              <w:pStyle w:val="Normal"/>
              <w:spacing w:before="0" w:after="84"/>
              <w:jc w:val="center"/>
              <w:rPr/>
            </w:pPr>
            <w:r>
              <w:rPr>
                <w:b/>
                <w:sz w:val="17"/>
              </w:rPr>
              <w:t>Ποσοστό</w:t>
            </w:r>
          </w:p>
        </w:tc>
        <w:tc>
          <w:tcPr>
            <w:tcW w:w="3437" w:type="dxa"/>
            <w:tcBorders/>
            <w:shd w:fill="E8EEF1"/>
          </w:tcPr>
          <w:p>
            <w:pPr>
              <w:pStyle w:val="Normal"/>
              <w:spacing w:before="0" w:after="84"/>
              <w:jc w:val="center"/>
              <w:rPr/>
            </w:pPr>
            <w:r>
              <w:rPr>
                <w:b/>
                <w:sz w:val="17"/>
              </w:rPr>
              <w:t>Με απλά λόγια</w:t>
            </w:r>
          </w:p>
        </w:tc>
      </w:tr>
      <w:tr>
        <w:trPr/>
        <w:tc>
          <w:tcPr>
            <w:tcW w:w="3436" w:type="dxa"/>
            <w:tcBorders/>
          </w:tcPr>
          <w:p>
            <w:pPr>
              <w:pStyle w:val="Normal"/>
              <w:spacing w:before="0" w:after="84"/>
              <w:jc w:val="both"/>
              <w:rPr/>
            </w:pPr>
            <w:r>
              <w:rPr>
                <w:sz w:val="16"/>
              </w:rPr>
              <w:t>Δράσεις και προγράμματα</w:t>
            </w:r>
          </w:p>
        </w:tc>
        <w:tc>
          <w:tcPr>
            <w:tcW w:w="3437" w:type="dxa"/>
            <w:tcBorders/>
          </w:tcPr>
          <w:p>
            <w:pPr>
              <w:pStyle w:val="Normal"/>
              <w:spacing w:before="0" w:after="84"/>
              <w:jc w:val="both"/>
              <w:rPr/>
            </w:pPr>
            <w:r>
              <w:rPr>
                <w:sz w:val="16"/>
              </w:rPr>
              <w:t>60,98%</w:t>
            </w:r>
          </w:p>
        </w:tc>
        <w:tc>
          <w:tcPr>
            <w:tcW w:w="3437" w:type="dxa"/>
            <w:tcBorders/>
          </w:tcPr>
          <w:p>
            <w:pPr>
              <w:pStyle w:val="Normal"/>
              <w:spacing w:before="0" w:after="84"/>
              <w:jc w:val="both"/>
              <w:rPr/>
            </w:pPr>
            <w:r>
              <w:rPr>
                <w:sz w:val="16"/>
              </w:rPr>
              <w:t>Μετακινήσεις, φιλοξενία, δραστηριότητες, υλικά, συμμετέχοντες και άλλες άμεσες δαπάνες των έργων.</w:t>
            </w:r>
          </w:p>
        </w:tc>
      </w:tr>
      <w:tr>
        <w:trPr/>
        <w:tc>
          <w:tcPr>
            <w:tcW w:w="3436" w:type="dxa"/>
            <w:tcBorders/>
          </w:tcPr>
          <w:p>
            <w:pPr>
              <w:pStyle w:val="Normal"/>
              <w:spacing w:before="0" w:after="84"/>
              <w:jc w:val="both"/>
              <w:rPr/>
            </w:pPr>
            <w:r>
              <w:rPr>
                <w:sz w:val="16"/>
              </w:rPr>
              <w:t>Ομάδα, συνολικά</w:t>
            </w:r>
          </w:p>
        </w:tc>
        <w:tc>
          <w:tcPr>
            <w:tcW w:w="3437" w:type="dxa"/>
            <w:tcBorders/>
          </w:tcPr>
          <w:p>
            <w:pPr>
              <w:pStyle w:val="Normal"/>
              <w:spacing w:before="0" w:after="84"/>
              <w:jc w:val="both"/>
              <w:rPr/>
            </w:pPr>
            <w:r>
              <w:rPr>
                <w:sz w:val="16"/>
              </w:rPr>
              <w:t>32,80%</w:t>
            </w:r>
          </w:p>
        </w:tc>
        <w:tc>
          <w:tcPr>
            <w:tcW w:w="3437" w:type="dxa"/>
            <w:tcBorders/>
          </w:tcPr>
          <w:p>
            <w:pPr>
              <w:pStyle w:val="Normal"/>
              <w:spacing w:before="0" w:after="84"/>
              <w:jc w:val="both"/>
              <w:rPr/>
            </w:pPr>
            <w:r>
              <w:rPr>
                <w:sz w:val="16"/>
              </w:rPr>
              <w:t>Καθαρές αποδοχές, ασφαλιστικές εισφορές και φόροι μισθοδοσίας.</w:t>
            </w:r>
          </w:p>
        </w:tc>
      </w:tr>
      <w:tr>
        <w:trPr/>
        <w:tc>
          <w:tcPr>
            <w:tcW w:w="3436" w:type="dxa"/>
            <w:tcBorders/>
          </w:tcPr>
          <w:p>
            <w:pPr>
              <w:pStyle w:val="Normal"/>
              <w:spacing w:before="0" w:after="84"/>
              <w:jc w:val="both"/>
              <w:rPr/>
            </w:pPr>
            <w:r>
              <w:rPr>
                <w:sz w:val="16"/>
              </w:rPr>
              <w:t xml:space="preserve">↳ </w:t>
            </w:r>
            <w:r>
              <w:rPr>
                <w:sz w:val="16"/>
              </w:rPr>
              <w:t>Καθαρές αποδοχές</w:t>
            </w:r>
          </w:p>
        </w:tc>
        <w:tc>
          <w:tcPr>
            <w:tcW w:w="3437" w:type="dxa"/>
            <w:tcBorders/>
          </w:tcPr>
          <w:p>
            <w:pPr>
              <w:pStyle w:val="Normal"/>
              <w:spacing w:before="0" w:after="84"/>
              <w:jc w:val="both"/>
              <w:rPr/>
            </w:pPr>
            <w:r>
              <w:rPr>
                <w:sz w:val="16"/>
              </w:rPr>
              <w:t>20,95%</w:t>
            </w:r>
          </w:p>
        </w:tc>
        <w:tc>
          <w:tcPr>
            <w:tcW w:w="3437" w:type="dxa"/>
            <w:tcBorders/>
          </w:tcPr>
          <w:p>
            <w:pPr>
              <w:pStyle w:val="Normal"/>
              <w:spacing w:before="0" w:after="84"/>
              <w:jc w:val="both"/>
              <w:rPr/>
            </w:pPr>
            <w:r>
              <w:rPr>
                <w:sz w:val="16"/>
              </w:rPr>
              <w:t>Το μέρος που μπήκε πραγματικά στους λογαριασμούς των ανθρώπων της ομάδας.</w:t>
            </w:r>
          </w:p>
        </w:tc>
      </w:tr>
      <w:tr>
        <w:trPr/>
        <w:tc>
          <w:tcPr>
            <w:tcW w:w="3436" w:type="dxa"/>
            <w:tcBorders/>
          </w:tcPr>
          <w:p>
            <w:pPr>
              <w:pStyle w:val="Normal"/>
              <w:spacing w:before="0" w:after="84"/>
              <w:jc w:val="both"/>
              <w:rPr/>
            </w:pPr>
            <w:r>
              <w:rPr>
                <w:sz w:val="16"/>
              </w:rPr>
              <w:t xml:space="preserve">↳ </w:t>
            </w:r>
            <w:r>
              <w:rPr>
                <w:sz w:val="16"/>
              </w:rPr>
              <w:t>Ασφαλιστικές εισφορές</w:t>
            </w:r>
          </w:p>
        </w:tc>
        <w:tc>
          <w:tcPr>
            <w:tcW w:w="3437" w:type="dxa"/>
            <w:tcBorders/>
          </w:tcPr>
          <w:p>
            <w:pPr>
              <w:pStyle w:val="Normal"/>
              <w:spacing w:before="0" w:after="84"/>
              <w:jc w:val="both"/>
              <w:rPr/>
            </w:pPr>
            <w:r>
              <w:rPr>
                <w:sz w:val="16"/>
              </w:rPr>
              <w:t>9,70%</w:t>
            </w:r>
          </w:p>
        </w:tc>
        <w:tc>
          <w:tcPr>
            <w:tcW w:w="3437" w:type="dxa"/>
            <w:tcBorders/>
          </w:tcPr>
          <w:p>
            <w:pPr>
              <w:pStyle w:val="Normal"/>
              <w:spacing w:before="0" w:after="84"/>
              <w:jc w:val="both"/>
              <w:rPr/>
            </w:pPr>
            <w:r>
              <w:rPr>
                <w:sz w:val="16"/>
              </w:rPr>
              <w:t>Εισφορές εργαζομένων και εργοδότη προς το ασφαλιστικό σύστημα.</w:t>
            </w:r>
          </w:p>
        </w:tc>
      </w:tr>
      <w:tr>
        <w:trPr/>
        <w:tc>
          <w:tcPr>
            <w:tcW w:w="3436" w:type="dxa"/>
            <w:tcBorders/>
          </w:tcPr>
          <w:p>
            <w:pPr>
              <w:pStyle w:val="Normal"/>
              <w:spacing w:before="0" w:after="84"/>
              <w:jc w:val="both"/>
              <w:rPr/>
            </w:pPr>
            <w:r>
              <w:rPr>
                <w:sz w:val="16"/>
              </w:rPr>
              <w:t xml:space="preserve">↳ </w:t>
            </w:r>
            <w:r>
              <w:rPr>
                <w:sz w:val="16"/>
              </w:rPr>
              <w:t>Φόροι μισθοδοσίας</w:t>
            </w:r>
          </w:p>
        </w:tc>
        <w:tc>
          <w:tcPr>
            <w:tcW w:w="3437" w:type="dxa"/>
            <w:tcBorders/>
          </w:tcPr>
          <w:p>
            <w:pPr>
              <w:pStyle w:val="Normal"/>
              <w:spacing w:before="0" w:after="84"/>
              <w:jc w:val="both"/>
              <w:rPr/>
            </w:pPr>
            <w:r>
              <w:rPr>
                <w:sz w:val="16"/>
              </w:rPr>
              <w:t>2,16%</w:t>
            </w:r>
          </w:p>
        </w:tc>
        <w:tc>
          <w:tcPr>
            <w:tcW w:w="3437" w:type="dxa"/>
            <w:tcBorders/>
          </w:tcPr>
          <w:p>
            <w:pPr>
              <w:pStyle w:val="Normal"/>
              <w:spacing w:before="0" w:after="84"/>
              <w:jc w:val="both"/>
              <w:rPr/>
            </w:pPr>
            <w:r>
              <w:rPr>
                <w:sz w:val="16"/>
              </w:rPr>
              <w:t>Υποχρεωτικές φορολογικές κρατήσεις που αποδόθηκαν στο Δημόσιο.</w:t>
            </w:r>
          </w:p>
        </w:tc>
      </w:tr>
      <w:tr>
        <w:trPr/>
        <w:tc>
          <w:tcPr>
            <w:tcW w:w="3436" w:type="dxa"/>
            <w:tcBorders/>
          </w:tcPr>
          <w:p>
            <w:pPr>
              <w:pStyle w:val="Normal"/>
              <w:spacing w:before="0" w:after="84"/>
              <w:jc w:val="both"/>
              <w:rPr/>
            </w:pPr>
            <w:r>
              <w:rPr>
                <w:sz w:val="16"/>
              </w:rPr>
              <w:t>Γενική λειτουργία και υποστήριξη</w:t>
            </w:r>
          </w:p>
        </w:tc>
        <w:tc>
          <w:tcPr>
            <w:tcW w:w="3437" w:type="dxa"/>
            <w:tcBorders/>
          </w:tcPr>
          <w:p>
            <w:pPr>
              <w:pStyle w:val="Normal"/>
              <w:spacing w:before="0" w:after="84"/>
              <w:jc w:val="both"/>
              <w:rPr/>
            </w:pPr>
            <w:r>
              <w:rPr>
                <w:sz w:val="16"/>
              </w:rPr>
              <w:t>6,22%</w:t>
            </w:r>
          </w:p>
        </w:tc>
        <w:tc>
          <w:tcPr>
            <w:tcW w:w="3437" w:type="dxa"/>
            <w:tcBorders/>
          </w:tcPr>
          <w:p>
            <w:pPr>
              <w:pStyle w:val="Normal"/>
              <w:spacing w:before="0" w:after="84"/>
              <w:jc w:val="both"/>
              <w:rPr/>
            </w:pPr>
            <w:r>
              <w:rPr>
                <w:sz w:val="16"/>
              </w:rPr>
              <w:t>Γραφείο, βασικές υπηρεσίες, εξοπλισμός και καθημερινή διοικητική λειτουργία.</w:t>
            </w:r>
          </w:p>
        </w:tc>
      </w:tr>
    </w:tbl>
    <w:p>
      <w:pPr>
        <w:pStyle w:val="Normal"/>
        <w:spacing w:before="0" w:after="84"/>
        <w:jc w:val="both"/>
        <w:rPr/>
      </w:pPr>
      <w:r>
        <w:rPr/>
        <w:t>Με απλά λόγια: το 93,78% των συνολικών δαπανών της χρονιάς κατευθύνθηκε σε δράσεις/προγράμματα και στην ανθρώπινη ομάδα που τα σχεδιάζει, τα οργανώνει και τα υλοποιεί.</w:t>
      </w:r>
    </w:p>
    <w:p>
      <w:pPr>
        <w:pStyle w:val="Normal"/>
        <w:spacing w:before="0" w:after="84"/>
        <w:jc w:val="both"/>
        <w:rPr/>
      </w:pPr>
      <w:r>
        <w:rPr>
          <w:sz w:val="17"/>
        </w:rPr>
        <w:t>Από κάθε 100 € δαπάνης, 20,95 € έφτασαν ως καθαρές αποδοχές στους ανθρώπους της ομάδας, 9,70 € αφορούσαν ασφαλιστικές εισφορές και 2,16 € φόρους μισθοδοσίας. Το συνολικό κόστος της ομάδας (32,80%) είναι επομένως αισθητά μεγαλύτερο από το ποσό που φτάνει τελικά ως καθαρή αμοιβή.</w:t>
      </w:r>
    </w:p>
    <w:p>
      <w:pPr>
        <w:pStyle w:val="1"/>
        <w:jc w:val="left"/>
        <w:rPr/>
      </w:pPr>
      <w:r>
        <w:rPr/>
        <w:t>Τι θέλουμε να βελτιώσουμε</w:t>
      </w:r>
    </w:p>
    <w:p>
      <w:pPr>
        <w:pStyle w:val="Normal"/>
        <w:spacing w:before="0" w:after="84"/>
        <w:jc w:val="both"/>
        <w:rPr/>
      </w:pPr>
      <w:r>
        <w:rPr/>
        <w:t>Θέλουμε οι κινητικότητες και τα ευρωπαϊκά projects να συνδέονται ακόμη περισσότερο με μια κοινότητα νέων που επιστρέφει, συμμετέχει ξανά, αναλαμβάνει ρόλους και μεταφέρει την εμπειρία της σε άλλους.</w:t>
      </w:r>
    </w:p>
    <w:p>
      <w:pPr>
        <w:pStyle w:val="1"/>
        <w:jc w:val="left"/>
        <w:rPr/>
      </w:pPr>
      <w:r>
        <w:rPr/>
        <w:t>Πώς διαβάζουμε τα στοιχεία</w:t>
      </w:r>
    </w:p>
    <w:p>
      <w:pPr>
        <w:pStyle w:val="Normal"/>
        <w:spacing w:before="0" w:after="84"/>
        <w:jc w:val="both"/>
        <w:rPr/>
      </w:pPr>
      <w:r>
        <w:rPr>
          <w:sz w:val="17"/>
        </w:rPr>
        <w:t>Τα στοιχεία προέρχονται από τα αρχεία έργων και συμμετοχής του You in Europe, τις αξιολογήσεις των συμμετεχόντων, τις τελικές εκθέσεις και τα παραδοτέα, καθώς και από τα λογιστικά βιβλία και τις μισθοδοτικές καταστάσεις. Οι αιτήσεις χρησιμοποιούνται ως δείκτης ενδιαφέροντος και εμβέλειας, ενώ οι αξιολογήσεις αποτυπώνουν την εμπειρία ανθρώπων που συμμετείχαν στις δράσεις. Τα οικονομικά στοιχεία παρουσιάζονται δημόσια ως ποσοστά και δείκτες, χωρίς δημοσιοποίηση του συνολικού ετήσιου οικονομικού μεγέθους.</w:t>
      </w:r>
    </w:p>
    <w:p>
      <w:pPr>
        <w:pStyle w:val="1"/>
        <w:jc w:val="left"/>
        <w:rPr/>
      </w:pPr>
      <w:r>
        <w:rPr/>
        <w:t>Τι κρατάμε από τη χρονιά</w:t>
      </w:r>
    </w:p>
    <w:p>
      <w:pPr>
        <w:pStyle w:val="Normal"/>
        <w:spacing w:before="0" w:after="84"/>
        <w:jc w:val="both"/>
        <w:rPr/>
      </w:pPr>
      <w:r>
        <w:rPr/>
        <w:t>Το 2023 μας έδειξε ότι μπορούμε να συνδυάζουμε μεγάλη κινητικότητα νέων με πιο σταθερές ευρωπαϊκές συνεργασίες. Το επόμενο βήμα είναι αυτή η εμπειρία να μετατρέπεται σε συνέχεια, κοινότητα και μετρήσιμο αποτέλεσμα.</w:t>
      </w:r>
    </w:p>
    <w:sectPr>
      <w:footerReference w:type="default" r:id="rId2"/>
      <w:type w:val="nextPage"/>
      <w:pgSz w:w="12240" w:h="15840"/>
      <w:pgMar w:left="964" w:right="964" w:header="0" w:top="850" w:footer="720" w:bottom="850"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a1"/>
    <w:family w:val="roman"/>
    <w:pitch w:val="variable"/>
  </w:font>
  <w:font w:name="Cambria">
    <w:charset w:val="a1"/>
    <w:family w:val="roman"/>
    <w:pitch w:val="variable"/>
  </w:font>
  <w:font w:name="Aptos">
    <w:charset w:val="a1"/>
    <w:family w:val="roman"/>
    <w:pitch w:val="variable"/>
  </w:font>
  <w:font w:name="Calibri">
    <w:charset w:val="a1"/>
    <w:family w:val="roman"/>
    <w:pitch w:val="variable"/>
  </w:font>
  <w:font w:name="Courier">
    <w:altName w:val="Courier New"/>
    <w:charset w:val="a1"/>
    <w:family w:val="roman"/>
    <w:pitch w:val="variable"/>
  </w:font>
  <w:font w:name="Liberation Sans">
    <w:altName w:val="Arial"/>
    <w:charset w:val="a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13"/>
      <w:jc w:val="center"/>
      <w:rPr/>
    </w:pPr>
    <w:r>
      <w:rPr>
        <w:sz w:val="14"/>
      </w:rPr>
      <w:t>You in Europe | Νέα Μουδανιά, Χαλκιδική | Δημοσιεύθηκε: Σεπτέμβριος 2026 | www.youineurope.gr</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40"/>
  <w:defaultTabStop w:val="720"/>
  <w:autoHyphenation w:val="tru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mbria" w:hAnsi="Cambria" w:eastAsia="ＭＳ 明朝" w:cs="" w:asciiTheme="minorHAnsi" w:cstheme="minorBidi" w:eastAsiaTheme="minorEastAsia" w:hAnsiTheme="minorHAnsi"/>
        <w:szCs w:val="22"/>
        <w:lang w:val="en-US" w:eastAsia="en-US" w:bidi="ar-SA"/>
      </w:rPr>
    </w:rPrDefault>
    <w:pPrDefault>
      <w:pPr>
        <w:suppressAutoHyphens w:val="true"/>
      </w:pPr>
    </w:pPrDefault>
  </w:docDefaults>
  <w:latentStyles w:defLockedState="0" w:defUIPriority="99" w:defSemiHidden="1" w:defUnhideWhenUsed="1" w:defQFormat="0" w:count="276">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fc693f"/>
    <w:pPr>
      <w:widowControl/>
      <w:bidi w:val="0"/>
      <w:spacing w:lineRule="auto" w:line="252" w:before="0" w:after="84"/>
      <w:jc w:val="left"/>
    </w:pPr>
    <w:rPr>
      <w:rFonts w:ascii="Aptos" w:hAnsi="Aptos" w:eastAsia="ＭＳ 明朝" w:cs="" w:cstheme="minorBidi" w:eastAsiaTheme="minorEastAsia"/>
      <w:color w:val="auto"/>
      <w:kern w:val="0"/>
      <w:sz w:val="18"/>
      <w:szCs w:val="22"/>
      <w:lang w:val="en-US" w:eastAsia="en-US" w:bidi="ar-SA"/>
    </w:rPr>
  </w:style>
  <w:style w:type="paragraph" w:styleId="1">
    <w:name w:val="Heading 1"/>
    <w:basedOn w:val="Normal"/>
    <w:next w:val="Normal"/>
    <w:link w:val="Heading1Char"/>
    <w:uiPriority w:val="9"/>
    <w:qFormat/>
    <w:rsid w:val="00fc693f"/>
    <w:pPr>
      <w:keepNext w:val="true"/>
      <w:keepLines/>
      <w:spacing w:before="160" w:after="70"/>
      <w:outlineLvl w:val="0"/>
    </w:pPr>
    <w:rPr>
      <w:rFonts w:ascii="Calibri" w:hAnsi="Calibri" w:eastAsia="ＭＳ ゴシック" w:cs="" w:asciiTheme="majorHAnsi" w:cstheme="majorBidi" w:eastAsiaTheme="majorEastAsia" w:hAnsiTheme="majorHAnsi"/>
      <w:b/>
      <w:bCs/>
      <w:color w:val="365F91" w:themeColor="accent1" w:themeShade="bf"/>
      <w:sz w:val="27"/>
      <w:szCs w:val="28"/>
    </w:rPr>
  </w:style>
  <w:style w:type="paragraph" w:styleId="2">
    <w:name w:val="Heading 2"/>
    <w:basedOn w:val="Normal"/>
    <w:next w:val="Normal"/>
    <w:link w:val="Heading2Char"/>
    <w:uiPriority w:val="9"/>
    <w:unhideWhenUsed/>
    <w:qFormat/>
    <w:rsid w:val="00fc693f"/>
    <w:pPr>
      <w:keepNext w:val="true"/>
      <w:keepLines/>
      <w:spacing w:before="80" w:after="40"/>
      <w:outlineLvl w:val="1"/>
    </w:pPr>
    <w:rPr>
      <w:rFonts w:ascii="Calibri" w:hAnsi="Calibri" w:eastAsia="ＭＳ ゴシック" w:cs="" w:asciiTheme="majorHAnsi" w:cstheme="majorBidi" w:eastAsiaTheme="majorEastAsia" w:hAnsiTheme="majorHAnsi"/>
      <w:b/>
      <w:bCs/>
      <w:color w:val="4F81BD" w:themeColor="accent1"/>
      <w:sz w:val="22"/>
      <w:szCs w:val="26"/>
    </w:rPr>
  </w:style>
  <w:style w:type="paragraph" w:styleId="3">
    <w:name w:val="Heading 3"/>
    <w:basedOn w:val="Normal"/>
    <w:next w:val="Normal"/>
    <w:link w:val="Heading3Char"/>
    <w:uiPriority w:val="9"/>
    <w:unhideWhenUsed/>
    <w:qFormat/>
    <w:rsid w:val="00fc693f"/>
    <w:pPr>
      <w:keepNext w:val="true"/>
      <w:keepLines/>
      <w:spacing w:before="200" w:after="0"/>
      <w:outlineLvl w:val="2"/>
    </w:pPr>
    <w:rPr>
      <w:rFonts w:ascii="Calibri" w:hAnsi="Calibri" w:eastAsia="ＭＳ ゴシック" w:cs="" w:asciiTheme="majorHAnsi" w:cstheme="majorBidi" w:eastAsiaTheme="majorEastAsia" w:hAnsiTheme="majorHAnsi"/>
      <w:b/>
      <w:bCs/>
      <w:color w:val="4F81BD" w:themeColor="accent1"/>
    </w:rPr>
  </w:style>
  <w:style w:type="paragraph" w:styleId="4">
    <w:name w:val="Heading 4"/>
    <w:basedOn w:val="Normal"/>
    <w:next w:val="Normal"/>
    <w:link w:val="Heading4Char"/>
    <w:uiPriority w:val="9"/>
    <w:semiHidden/>
    <w:unhideWhenUsed/>
    <w:qFormat/>
    <w:rsid w:val="00fc693f"/>
    <w:pPr>
      <w:keepNext w:val="true"/>
      <w:keepLines/>
      <w:spacing w:before="200" w:after="0"/>
      <w:outlineLvl w:val="3"/>
    </w:pPr>
    <w:rPr>
      <w:rFonts w:ascii="Calibri" w:hAnsi="Calibri" w:eastAsia="ＭＳ ゴシック" w:cs="" w:asciiTheme="majorHAnsi" w:cstheme="majorBidi" w:eastAsiaTheme="majorEastAsia" w:hAnsiTheme="majorHAnsi"/>
      <w:b/>
      <w:bCs/>
      <w:i/>
      <w:iCs/>
      <w:color w:val="4F81BD" w:themeColor="accent1"/>
    </w:rPr>
  </w:style>
  <w:style w:type="paragraph" w:styleId="5">
    <w:name w:val="Heading 5"/>
    <w:basedOn w:val="Normal"/>
    <w:next w:val="Normal"/>
    <w:link w:val="Heading5Char"/>
    <w:uiPriority w:val="9"/>
    <w:semiHidden/>
    <w:unhideWhenUsed/>
    <w:qFormat/>
    <w:rsid w:val="00fc693f"/>
    <w:pPr>
      <w:keepNext w:val="true"/>
      <w:keepLines/>
      <w:spacing w:before="200" w:after="0"/>
      <w:outlineLvl w:val="4"/>
    </w:pPr>
    <w:rPr>
      <w:rFonts w:ascii="Calibri" w:hAnsi="Calibri" w:eastAsia="ＭＳ ゴシック" w:cs="" w:asciiTheme="majorHAnsi" w:cstheme="majorBidi" w:eastAsiaTheme="majorEastAsia" w:hAnsiTheme="majorHAnsi"/>
      <w:color w:val="243F60" w:themeColor="accent1" w:themeShade="7f"/>
    </w:rPr>
  </w:style>
  <w:style w:type="paragraph" w:styleId="6">
    <w:name w:val="Heading 6"/>
    <w:basedOn w:val="Normal"/>
    <w:next w:val="Normal"/>
    <w:link w:val="Heading6Char"/>
    <w:uiPriority w:val="9"/>
    <w:semiHidden/>
    <w:unhideWhenUsed/>
    <w:qFormat/>
    <w:rsid w:val="00fc693f"/>
    <w:pPr>
      <w:keepNext w:val="true"/>
      <w:keepLines/>
      <w:spacing w:before="200" w:after="0"/>
      <w:outlineLvl w:val="5"/>
    </w:pPr>
    <w:rPr>
      <w:rFonts w:ascii="Calibri" w:hAnsi="Calibri" w:eastAsia="ＭＳ ゴシック" w:cs="" w:asciiTheme="majorHAnsi" w:cstheme="majorBidi" w:eastAsiaTheme="majorEastAsia" w:hAnsiTheme="majorHAnsi"/>
      <w:i/>
      <w:iCs/>
      <w:color w:val="243F60" w:themeColor="accent1" w:themeShade="7f"/>
    </w:rPr>
  </w:style>
  <w:style w:type="paragraph" w:styleId="7">
    <w:name w:val="Heading 7"/>
    <w:basedOn w:val="Normal"/>
    <w:next w:val="Normal"/>
    <w:link w:val="Heading7Char"/>
    <w:uiPriority w:val="9"/>
    <w:semiHidden/>
    <w:unhideWhenUsed/>
    <w:qFormat/>
    <w:rsid w:val="00fc693f"/>
    <w:pPr>
      <w:keepNext w:val="true"/>
      <w:keepLines/>
      <w:spacing w:before="200" w:after="0"/>
      <w:outlineLvl w:val="6"/>
    </w:pPr>
    <w:rPr>
      <w:rFonts w:ascii="Calibri" w:hAnsi="Calibri" w:eastAsia="ＭＳ ゴシック" w:cs="" w:asciiTheme="majorHAnsi" w:cstheme="majorBidi" w:eastAsiaTheme="majorEastAsia" w:hAnsiTheme="majorHAnsi"/>
      <w:i/>
      <w:iCs/>
      <w:color w:val="404040" w:themeColor="text1" w:themeTint="bf"/>
    </w:rPr>
  </w:style>
  <w:style w:type="paragraph" w:styleId="8">
    <w:name w:val="Heading 8"/>
    <w:basedOn w:val="Normal"/>
    <w:next w:val="Normal"/>
    <w:link w:val="Heading8Char"/>
    <w:uiPriority w:val="9"/>
    <w:semiHidden/>
    <w:unhideWhenUsed/>
    <w:qFormat/>
    <w:rsid w:val="00fc693f"/>
    <w:pPr>
      <w:keepNext w:val="true"/>
      <w:keepLines/>
      <w:spacing w:before="200" w:after="0"/>
      <w:outlineLvl w:val="7"/>
    </w:pPr>
    <w:rPr>
      <w:rFonts w:ascii="Calibri" w:hAnsi="Calibri" w:eastAsia="ＭＳ ゴシック" w:cs="" w:asciiTheme="majorHAnsi" w:cstheme="majorBidi" w:eastAsiaTheme="majorEastAsia" w:hAnsiTheme="majorHAnsi"/>
      <w:color w:val="4F81BD" w:themeColor="accent1"/>
      <w:sz w:val="20"/>
      <w:szCs w:val="20"/>
    </w:rPr>
  </w:style>
  <w:style w:type="paragraph" w:styleId="9">
    <w:name w:val="Heading 9"/>
    <w:basedOn w:val="Normal"/>
    <w:next w:val="Normal"/>
    <w:link w:val="Heading9Char"/>
    <w:uiPriority w:val="9"/>
    <w:semiHidden/>
    <w:unhideWhenUsed/>
    <w:qFormat/>
    <w:rsid w:val="00fc693f"/>
    <w:pPr>
      <w:keepNext w:val="true"/>
      <w:keepLines/>
      <w:spacing w:before="200" w:after="0"/>
      <w:outlineLvl w:val="8"/>
    </w:pPr>
    <w:rPr>
      <w:rFonts w:ascii="Calibri" w:hAnsi="Calibri" w:eastAsia="ＭＳ ゴシック" w:cs="" w:asciiTheme="majorHAnsi" w:cstheme="majorBidi" w:eastAsiaTheme="majorEastAsia" w:hAnsiTheme="majorHAnsi"/>
      <w:i/>
      <w:iCs/>
      <w:color w:val="404040" w:themeColor="text1" w:themeTint="bf"/>
      <w:sz w:val="20"/>
      <w:szCs w:val="20"/>
    </w:rPr>
  </w:style>
  <w:style w:type="character" w:styleId="HeaderChar" w:customStyle="1">
    <w:name w:val="Header Char"/>
    <w:basedOn w:val="DefaultParagraphFont"/>
    <w:link w:val="Header"/>
    <w:uiPriority w:val="99"/>
    <w:qFormat/>
    <w:rsid w:val="00e618bf"/>
    <w:rPr/>
  </w:style>
  <w:style w:type="character" w:styleId="FooterChar" w:customStyle="1">
    <w:name w:val="Footer Char"/>
    <w:basedOn w:val="DefaultParagraphFont"/>
    <w:link w:val="Footer"/>
    <w:uiPriority w:val="99"/>
    <w:qFormat/>
    <w:rsid w:val="00e618bf"/>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uiPriority w:val="9"/>
    <w:qFormat/>
    <w:rsid w:val="00fc693f"/>
    <w:rPr>
      <w:rFonts w:ascii="Calibri" w:hAnsi="Calibri" w:eastAsia="ＭＳ ゴシック" w:cs="" w:asciiTheme="majorHAnsi" w:cstheme="majorBidi" w:eastAsiaTheme="majorEastAsia" w:hAnsiTheme="majorHAnsi"/>
      <w:b/>
      <w:bCs/>
      <w:color w:val="365F91" w:themeColor="accent1" w:themeShade="bf"/>
      <w:sz w:val="28"/>
      <w:szCs w:val="28"/>
    </w:rPr>
  </w:style>
  <w:style w:type="character" w:styleId="Heading2Char" w:customStyle="1">
    <w:name w:val="Heading 2 Char"/>
    <w:basedOn w:val="DefaultParagraphFont"/>
    <w:link w:val="Heading2"/>
    <w:uiPriority w:val="9"/>
    <w:qFormat/>
    <w:rsid w:val="00fc693f"/>
    <w:rPr>
      <w:rFonts w:ascii="Calibri" w:hAnsi="Calibri" w:eastAsia="ＭＳ ゴシック" w:cs="" w:asciiTheme="majorHAnsi" w:cstheme="majorBidi" w:eastAsiaTheme="majorEastAsia" w:hAnsiTheme="majorHAnsi"/>
      <w:b/>
      <w:bCs/>
      <w:color w:val="4F81BD" w:themeColor="accent1"/>
      <w:sz w:val="26"/>
      <w:szCs w:val="26"/>
    </w:rPr>
  </w:style>
  <w:style w:type="character" w:styleId="Heading3Char" w:customStyle="1">
    <w:name w:val="Heading 3 Char"/>
    <w:basedOn w:val="DefaultParagraphFont"/>
    <w:link w:val="Heading3"/>
    <w:uiPriority w:val="9"/>
    <w:qFormat/>
    <w:rsid w:val="00fc693f"/>
    <w:rPr>
      <w:rFonts w:ascii="Calibri" w:hAnsi="Calibri" w:eastAsia="ＭＳ ゴシック" w:cs="" w:asciiTheme="majorHAnsi" w:cstheme="majorBidi" w:eastAsiaTheme="majorEastAsia" w:hAnsiTheme="majorHAnsi"/>
      <w:b/>
      <w:bCs/>
      <w:color w:val="4F81BD" w:themeColor="accent1"/>
    </w:rPr>
  </w:style>
  <w:style w:type="character" w:styleId="TitleChar" w:customStyle="1">
    <w:name w:val="Title Char"/>
    <w:basedOn w:val="DefaultParagraphFont"/>
    <w:link w:val="Title"/>
    <w:uiPriority w:val="10"/>
    <w:qFormat/>
    <w:rsid w:val="00fc693f"/>
    <w:rPr>
      <w:rFonts w:ascii="Calibri" w:hAnsi="Calibri" w:eastAsia="ＭＳ ゴシック" w:cs="" w:asciiTheme="majorHAnsi" w:cstheme="majorBidi" w:eastAsiaTheme="majorEastAsia" w:hAnsiTheme="majorHAnsi"/>
      <w:color w:val="17365D" w:themeColor="text2" w:themeShade="bf"/>
      <w:spacing w:val="5"/>
      <w:kern w:val="2"/>
      <w:sz w:val="52"/>
      <w:szCs w:val="52"/>
    </w:rPr>
  </w:style>
  <w:style w:type="character" w:styleId="SubtitleChar" w:customStyle="1">
    <w:name w:val="Subtitle Char"/>
    <w:basedOn w:val="DefaultParagraphFont"/>
    <w:link w:val="Subtitle"/>
    <w:uiPriority w:val="11"/>
    <w:qFormat/>
    <w:rsid w:val="00fc693f"/>
    <w:rPr>
      <w:rFonts w:ascii="Calibri" w:hAnsi="Calibri" w:eastAsia="ＭＳ ゴシック" w:cs="" w:asciiTheme="majorHAnsi" w:cstheme="majorBidi" w:eastAsiaTheme="majorEastAsia" w:hAnsiTheme="majorHAnsi"/>
      <w:i/>
      <w:iCs/>
      <w:color w:val="4F81BD" w:themeColor="accent1"/>
      <w:spacing w:val="15"/>
      <w:sz w:val="24"/>
      <w:szCs w:val="24"/>
    </w:rPr>
  </w:style>
  <w:style w:type="character" w:styleId="BodyTextChar" w:customStyle="1">
    <w:name w:val="Body Text Char"/>
    <w:basedOn w:val="DefaultParagraphFont"/>
    <w:link w:val="BodyText"/>
    <w:uiPriority w:val="99"/>
    <w:qFormat/>
    <w:rsid w:val="00aa1d8d"/>
    <w:rPr/>
  </w:style>
  <w:style w:type="character" w:styleId="BodyText2Char" w:customStyle="1">
    <w:name w:val="Body Text 2 Char"/>
    <w:basedOn w:val="DefaultParagraphFont"/>
    <w:link w:val="BodyText2"/>
    <w:uiPriority w:val="99"/>
    <w:qFormat/>
    <w:rsid w:val="00aa1d8d"/>
    <w:rPr/>
  </w:style>
  <w:style w:type="character" w:styleId="BodyText3Char" w:customStyle="1">
    <w:name w:val="Body Text 3 Char"/>
    <w:basedOn w:val="DefaultParagraphFont"/>
    <w:link w:val="BodyText3"/>
    <w:uiPriority w:val="99"/>
    <w:qFormat/>
    <w:rsid w:val="00aa1d8d"/>
    <w:rPr>
      <w:sz w:val="16"/>
      <w:szCs w:val="16"/>
    </w:rPr>
  </w:style>
  <w:style w:type="character" w:styleId="MacroTextChar" w:customStyle="1">
    <w:name w:val="Macro Text Char"/>
    <w:basedOn w:val="DefaultParagraphFont"/>
    <w:link w:val="MacroText"/>
    <w:uiPriority w:val="99"/>
    <w:qFormat/>
    <w:rsid w:val="0029639d"/>
    <w:rPr>
      <w:rFonts w:ascii="Courier" w:hAnsi="Courier"/>
      <w:sz w:val="20"/>
      <w:szCs w:val="20"/>
    </w:rPr>
  </w:style>
  <w:style w:type="character" w:styleId="QuoteChar" w:customStyle="1">
    <w:name w:val="Quote Char"/>
    <w:basedOn w:val="DefaultParagraphFont"/>
    <w:link w:val="Quote"/>
    <w:uiPriority w:val="29"/>
    <w:qFormat/>
    <w:rsid w:val="00fc693f"/>
    <w:rPr>
      <w:i/>
      <w:iCs/>
      <w:color w:val="000000" w:themeColor="text1"/>
    </w:rPr>
  </w:style>
  <w:style w:type="character" w:styleId="Heading4Char" w:customStyle="1">
    <w:name w:val="Heading 4 Char"/>
    <w:basedOn w:val="DefaultParagraphFont"/>
    <w:link w:val="Heading4"/>
    <w:uiPriority w:val="9"/>
    <w:semiHidden/>
    <w:qFormat/>
    <w:rsid w:val="00fc693f"/>
    <w:rPr>
      <w:rFonts w:ascii="Calibri" w:hAnsi="Calibri" w:eastAsia="ＭＳ ゴシック" w:cs="" w:asciiTheme="majorHAnsi" w:cstheme="majorBidi" w:eastAsiaTheme="majorEastAsia" w:hAnsiTheme="majorHAnsi"/>
      <w:b/>
      <w:bCs/>
      <w:i/>
      <w:iCs/>
      <w:color w:val="4F81BD" w:themeColor="accent1"/>
    </w:rPr>
  </w:style>
  <w:style w:type="character" w:styleId="Heading5Char" w:customStyle="1">
    <w:name w:val="Heading 5 Char"/>
    <w:basedOn w:val="DefaultParagraphFont"/>
    <w:link w:val="Heading5"/>
    <w:uiPriority w:val="9"/>
    <w:semiHidden/>
    <w:qFormat/>
    <w:rsid w:val="00fc693f"/>
    <w:rPr>
      <w:rFonts w:ascii="Calibri" w:hAnsi="Calibri" w:eastAsia="ＭＳ ゴシック" w:cs="" w:asciiTheme="majorHAnsi" w:cstheme="majorBidi" w:eastAsiaTheme="majorEastAsia" w:hAnsiTheme="majorHAnsi"/>
      <w:color w:val="243F60" w:themeColor="accent1" w:themeShade="7f"/>
    </w:rPr>
  </w:style>
  <w:style w:type="character" w:styleId="Heading6Char" w:customStyle="1">
    <w:name w:val="Heading 6 Char"/>
    <w:basedOn w:val="DefaultParagraphFont"/>
    <w:link w:val="Heading6"/>
    <w:uiPriority w:val="9"/>
    <w:semiHidden/>
    <w:qFormat/>
    <w:rsid w:val="00fc693f"/>
    <w:rPr>
      <w:rFonts w:ascii="Calibri" w:hAnsi="Calibri" w:eastAsia="ＭＳ ゴシック" w:cs="" w:asciiTheme="majorHAnsi" w:cstheme="majorBidi" w:eastAsiaTheme="majorEastAsia" w:hAnsiTheme="majorHAnsi"/>
      <w:i/>
      <w:iCs/>
      <w:color w:val="243F60" w:themeColor="accent1" w:themeShade="7f"/>
    </w:rPr>
  </w:style>
  <w:style w:type="character" w:styleId="Heading7Char" w:customStyle="1">
    <w:name w:val="Heading 7 Char"/>
    <w:basedOn w:val="DefaultParagraphFont"/>
    <w:link w:val="Heading7"/>
    <w:uiPriority w:val="9"/>
    <w:semiHidden/>
    <w:qFormat/>
    <w:rsid w:val="00fc693f"/>
    <w:rPr>
      <w:rFonts w:ascii="Calibri" w:hAnsi="Calibri" w:eastAsia="ＭＳ ゴシック" w:cs="" w:asciiTheme="majorHAnsi" w:cstheme="majorBidi" w:eastAsiaTheme="majorEastAsia" w:hAnsiTheme="majorHAnsi"/>
      <w:i/>
      <w:iCs/>
      <w:color w:val="404040" w:themeColor="text1" w:themeTint="bf"/>
    </w:rPr>
  </w:style>
  <w:style w:type="character" w:styleId="Heading8Char" w:customStyle="1">
    <w:name w:val="Heading 8 Char"/>
    <w:basedOn w:val="DefaultParagraphFont"/>
    <w:link w:val="Heading8"/>
    <w:uiPriority w:val="9"/>
    <w:semiHidden/>
    <w:qFormat/>
    <w:rsid w:val="00fc693f"/>
    <w:rPr>
      <w:rFonts w:ascii="Calibri" w:hAnsi="Calibri" w:eastAsia="ＭＳ ゴシック" w:c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qFormat/>
    <w:rsid w:val="00fc693f"/>
    <w:rPr>
      <w:rFonts w:ascii="Calibri" w:hAnsi="Calibri" w:eastAsia="ＭＳ ゴシック" w:cs="" w:asciiTheme="majorHAnsi" w:cstheme="majorBidi" w:eastAsiaTheme="majorEastAsia" w:hAnsiTheme="majorHAnsi"/>
      <w:i/>
      <w:iCs/>
      <w:color w:val="404040" w:themeColor="text1" w:themeTint="bf"/>
      <w:sz w:val="20"/>
      <w:szCs w:val="20"/>
    </w:rPr>
  </w:style>
  <w:style w:type="character" w:styleId="Strong">
    <w:name w:val="Strong"/>
    <w:basedOn w:val="DefaultParagraphFont"/>
    <w:uiPriority w:val="22"/>
    <w:qFormat/>
    <w:rsid w:val="00fc693f"/>
    <w:rPr>
      <w:b/>
      <w:bCs/>
    </w:rPr>
  </w:style>
  <w:style w:type="character" w:styleId="Style5">
    <w:name w:val="Έμφαση"/>
    <w:basedOn w:val="DefaultParagraphFont"/>
    <w:uiPriority w:val="20"/>
    <w:qFormat/>
    <w:rsid w:val="00fc693f"/>
    <w:rPr>
      <w:i/>
      <w:iCs/>
    </w:rPr>
  </w:style>
  <w:style w:type="character" w:styleId="IntenseQuoteChar" w:customStyle="1">
    <w:name w:val="Intense Quote Char"/>
    <w:basedOn w:val="DefaultParagraphFont"/>
    <w:link w:val="IntenseQuote"/>
    <w:uiPriority w:val="30"/>
    <w:qFormat/>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Style6">
    <w:name w:val="Επικεφαλίδα"/>
    <w:basedOn w:val="Normal"/>
    <w:next w:val="Style7"/>
    <w:qFormat/>
    <w:pPr>
      <w:keepNext w:val="true"/>
      <w:spacing w:before="240" w:after="120"/>
    </w:pPr>
    <w:rPr>
      <w:rFonts w:ascii="Liberation Sans" w:hAnsi="Liberation Sans" w:eastAsia="Microsoft YaHei" w:cs="Arial"/>
      <w:sz w:val="28"/>
      <w:szCs w:val="28"/>
    </w:rPr>
  </w:style>
  <w:style w:type="paragraph" w:styleId="Style7">
    <w:name w:val="Body Text"/>
    <w:basedOn w:val="Normal"/>
    <w:link w:val="BodyTextChar"/>
    <w:uiPriority w:val="99"/>
    <w:unhideWhenUsed/>
    <w:rsid w:val="00aa1d8d"/>
    <w:pPr>
      <w:spacing w:before="0" w:after="120"/>
    </w:pPr>
    <w:rPr/>
  </w:style>
  <w:style w:type="paragraph" w:styleId="Style8">
    <w:name w:val="List"/>
    <w:basedOn w:val="Normal"/>
    <w:uiPriority w:val="99"/>
    <w:unhideWhenUsed/>
    <w:rsid w:val="00aa1d8d"/>
    <w:pPr>
      <w:spacing w:before="0" w:after="84"/>
      <w:ind w:left="360" w:hanging="360"/>
      <w:contextualSpacing/>
    </w:pPr>
    <w:rPr/>
  </w:style>
  <w:style w:type="paragraph" w:styleId="Style9">
    <w:name w:val="Caption"/>
    <w:basedOn w:val="Normal"/>
    <w:qFormat/>
    <w:pPr>
      <w:suppressLineNumbers/>
      <w:spacing w:before="120" w:after="120"/>
    </w:pPr>
    <w:rPr>
      <w:rFonts w:cs="Arial"/>
      <w:i/>
      <w:iCs/>
      <w:sz w:val="24"/>
      <w:szCs w:val="24"/>
    </w:rPr>
  </w:style>
  <w:style w:type="paragraph" w:styleId="Style10">
    <w:name w:val="Ευρετήριο"/>
    <w:basedOn w:val="Normal"/>
    <w:qFormat/>
    <w:pPr>
      <w:suppressLineNumbers/>
    </w:pPr>
    <w:rPr>
      <w:rFonts w:cs="Arial"/>
    </w:rPr>
  </w:style>
  <w:style w:type="paragraph" w:styleId="Style11">
    <w:name w:val="Κεφαλίδα και υποσέλιδο"/>
    <w:basedOn w:val="Normal"/>
    <w:qFormat/>
    <w:pPr/>
    <w:rPr/>
  </w:style>
  <w:style w:type="paragraph" w:styleId="Style12">
    <w:name w:val="Header"/>
    <w:basedOn w:val="Normal"/>
    <w:link w:val="HeaderChar"/>
    <w:uiPriority w:val="99"/>
    <w:unhideWhenUsed/>
    <w:rsid w:val="00e618bf"/>
    <w:pPr>
      <w:tabs>
        <w:tab w:val="clear" w:pos="720"/>
        <w:tab w:val="center" w:pos="4680" w:leader="none"/>
        <w:tab w:val="right" w:pos="9360" w:leader="none"/>
      </w:tabs>
      <w:spacing w:lineRule="auto" w:line="240" w:before="0" w:after="0"/>
    </w:pPr>
    <w:rPr/>
  </w:style>
  <w:style w:type="paragraph" w:styleId="Style13">
    <w:name w:val="Footer"/>
    <w:basedOn w:val="Normal"/>
    <w:link w:val="FooterChar"/>
    <w:uiPriority w:val="99"/>
    <w:unhideWhenUsed/>
    <w:rsid w:val="00e618bf"/>
    <w:pPr>
      <w:tabs>
        <w:tab w:val="clear" w:pos="720"/>
        <w:tab w:val="center" w:pos="4680" w:leader="none"/>
        <w:tab w:val="right" w:pos="9360" w:leader="none"/>
      </w:tabs>
      <w:spacing w:lineRule="auto" w:line="240" w:before="0" w:after="0"/>
    </w:pPr>
    <w:rPr/>
  </w:style>
  <w:style w:type="paragraph" w:styleId="NoSpacing">
    <w:name w:val="No Spacing"/>
    <w:uiPriority w:val="1"/>
    <w:qFormat/>
    <w:rsid w:val="00fc693f"/>
    <w:pPr>
      <w:widowControl/>
      <w:bidi w:val="0"/>
      <w:spacing w:lineRule="auto" w:line="240" w:before="0" w:after="0"/>
      <w:jc w:val="left"/>
    </w:pPr>
    <w:rPr>
      <w:rFonts w:ascii="Cambria" w:hAnsi="Cambria" w:eastAsia="ＭＳ 明朝" w:cs="" w:asciiTheme="minorHAnsi" w:cstheme="minorBidi" w:eastAsiaTheme="minorEastAsia" w:hAnsiTheme="minorHAnsi"/>
      <w:color w:val="auto"/>
      <w:kern w:val="0"/>
      <w:sz w:val="18"/>
      <w:szCs w:val="22"/>
      <w:lang w:val="en-US" w:eastAsia="en-US" w:bidi="ar-SA"/>
    </w:rPr>
  </w:style>
  <w:style w:type="paragraph" w:styleId="Style14">
    <w:name w:val="Title"/>
    <w:basedOn w:val="Normal"/>
    <w:next w:val="Normal"/>
    <w:link w:val="TitleChar"/>
    <w:uiPriority w:val="10"/>
    <w:qFormat/>
    <w:rsid w:val="00fc693f"/>
    <w:pPr>
      <w:pBdr>
        <w:bottom w:val="single" w:sz="8" w:space="4" w:color="4F81BD"/>
      </w:pBdr>
      <w:spacing w:lineRule="auto" w:line="240" w:before="0" w:after="300"/>
      <w:contextualSpacing/>
    </w:pPr>
    <w:rPr>
      <w:rFonts w:ascii="Calibri" w:hAnsi="Calibri" w:eastAsia="ＭＳ ゴシック" w:cs="" w:asciiTheme="majorHAnsi" w:cstheme="majorBidi" w:eastAsiaTheme="majorEastAsia" w:hAnsiTheme="majorHAnsi"/>
      <w:b/>
      <w:color w:val="17365D" w:themeColor="text2" w:themeShade="bf"/>
      <w:spacing w:val="5"/>
      <w:kern w:val="2"/>
      <w:sz w:val="44"/>
      <w:szCs w:val="52"/>
    </w:rPr>
  </w:style>
  <w:style w:type="paragraph" w:styleId="Style15">
    <w:name w:val="Subtitle"/>
    <w:basedOn w:val="Normal"/>
    <w:next w:val="Normal"/>
    <w:link w:val="SubtitleChar"/>
    <w:uiPriority w:val="11"/>
    <w:qFormat/>
    <w:rsid w:val="00fc693f"/>
    <w:pPr/>
    <w:rPr>
      <w:rFonts w:ascii="Calibri" w:hAnsi="Calibri" w:eastAsia="ＭＳ ゴシック" w:cs="" w:asciiTheme="majorHAnsi" w:cstheme="majorBidi" w:eastAsiaTheme="majorEastAsia" w:hAnsiTheme="majorHAnsi"/>
      <w:i/>
      <w:iCs/>
      <w:color w:val="4F81BD" w:themeColor="accent1"/>
      <w:spacing w:val="15"/>
      <w:sz w:val="24"/>
      <w:szCs w:val="24"/>
    </w:rPr>
  </w:style>
  <w:style w:type="paragraph" w:styleId="ListParagraph">
    <w:name w:val="List Paragraph"/>
    <w:basedOn w:val="Normal"/>
    <w:uiPriority w:val="34"/>
    <w:qFormat/>
    <w:rsid w:val="00fc693f"/>
    <w:pPr>
      <w:spacing w:before="0" w:after="84"/>
      <w:ind w:left="720" w:hanging="0"/>
      <w:contextualSpacing/>
    </w:pPr>
    <w:rPr/>
  </w:style>
  <w:style w:type="paragraph" w:styleId="BodyText2">
    <w:name w:val="Body Text 2"/>
    <w:basedOn w:val="Normal"/>
    <w:link w:val="BodyText2Char"/>
    <w:uiPriority w:val="99"/>
    <w:unhideWhenUsed/>
    <w:qFormat/>
    <w:rsid w:val="00aa1d8d"/>
    <w:pPr>
      <w:spacing w:lineRule="auto" w:line="480" w:before="0" w:after="120"/>
    </w:pPr>
    <w:rPr/>
  </w:style>
  <w:style w:type="paragraph" w:styleId="BodyText3">
    <w:name w:val="Body Text 3"/>
    <w:basedOn w:val="Normal"/>
    <w:link w:val="BodyText3Char"/>
    <w:uiPriority w:val="99"/>
    <w:unhideWhenUsed/>
    <w:qFormat/>
    <w:rsid w:val="00aa1d8d"/>
    <w:pPr>
      <w:spacing w:before="0" w:after="120"/>
    </w:pPr>
    <w:rPr>
      <w:sz w:val="16"/>
      <w:szCs w:val="16"/>
    </w:rPr>
  </w:style>
  <w:style w:type="paragraph" w:styleId="21">
    <w:name w:val="List Bullet 3"/>
    <w:basedOn w:val="Normal"/>
    <w:uiPriority w:val="99"/>
    <w:unhideWhenUsed/>
    <w:rsid w:val="00326f90"/>
    <w:pPr>
      <w:spacing w:before="0" w:after="84"/>
      <w:ind w:left="720" w:hanging="360"/>
      <w:contextualSpacing/>
    </w:pPr>
    <w:rPr/>
  </w:style>
  <w:style w:type="paragraph" w:styleId="31">
    <w:name w:val="List Bullet 4"/>
    <w:basedOn w:val="Normal"/>
    <w:uiPriority w:val="99"/>
    <w:unhideWhenUsed/>
    <w:rsid w:val="00326f90"/>
    <w:pPr>
      <w:spacing w:before="0" w:after="84"/>
      <w:ind w:left="1080" w:hanging="360"/>
      <w:contextualSpacing/>
    </w:pPr>
    <w:rPr/>
  </w:style>
  <w:style w:type="paragraph" w:styleId="ListBullet">
    <w:name w:val="List Bullet"/>
    <w:basedOn w:val="Normal"/>
    <w:uiPriority w:val="99"/>
    <w:unhideWhenUsed/>
    <w:qFormat/>
    <w:rsid w:val="00326f90"/>
    <w:pPr>
      <w:spacing w:before="0" w:after="84"/>
      <w:contextualSpacing/>
    </w:pPr>
    <w:rPr/>
  </w:style>
  <w:style w:type="paragraph" w:styleId="ListBullet2">
    <w:name w:val="List Bullet 2"/>
    <w:basedOn w:val="Normal"/>
    <w:uiPriority w:val="99"/>
    <w:unhideWhenUsed/>
    <w:qFormat/>
    <w:rsid w:val="00326f90"/>
    <w:pPr>
      <w:spacing w:before="0" w:after="84"/>
      <w:contextualSpacing/>
    </w:pPr>
    <w:rPr/>
  </w:style>
  <w:style w:type="paragraph" w:styleId="ListBullet3">
    <w:name w:val="List Bullet 3"/>
    <w:basedOn w:val="Normal"/>
    <w:uiPriority w:val="99"/>
    <w:unhideWhenUsed/>
    <w:qFormat/>
    <w:rsid w:val="00326f90"/>
    <w:pPr>
      <w:spacing w:before="0" w:after="84"/>
      <w:contextualSpacing/>
    </w:pPr>
    <w:rPr/>
  </w:style>
  <w:style w:type="paragraph" w:styleId="ListNumber">
    <w:name w:val="List Number"/>
    <w:basedOn w:val="Normal"/>
    <w:uiPriority w:val="99"/>
    <w:unhideWhenUsed/>
    <w:qFormat/>
    <w:rsid w:val="00326f90"/>
    <w:pPr>
      <w:spacing w:before="0" w:after="84"/>
      <w:contextualSpacing/>
    </w:pPr>
    <w:rPr/>
  </w:style>
  <w:style w:type="paragraph" w:styleId="ListNumber2">
    <w:name w:val="List Number 2"/>
    <w:basedOn w:val="Normal"/>
    <w:uiPriority w:val="99"/>
    <w:unhideWhenUsed/>
    <w:qFormat/>
    <w:rsid w:val="0029639d"/>
    <w:pPr>
      <w:spacing w:before="0" w:after="84"/>
      <w:contextualSpacing/>
    </w:pPr>
    <w:rPr/>
  </w:style>
  <w:style w:type="paragraph" w:styleId="ListNumber3">
    <w:name w:val="List Number 3"/>
    <w:basedOn w:val="Normal"/>
    <w:uiPriority w:val="99"/>
    <w:unhideWhenUsed/>
    <w:qFormat/>
    <w:rsid w:val="0029639d"/>
    <w:pPr>
      <w:spacing w:before="0" w:after="84"/>
      <w:contextualSpacing/>
    </w:pPr>
    <w:rPr/>
  </w:style>
  <w:style w:type="paragraph" w:styleId="ListContinue">
    <w:name w:val="List Continue"/>
    <w:basedOn w:val="Normal"/>
    <w:uiPriority w:val="99"/>
    <w:unhideWhenUsed/>
    <w:qFormat/>
    <w:rsid w:val="0029639d"/>
    <w:pPr>
      <w:spacing w:before="0" w:after="120"/>
      <w:ind w:left="360" w:hanging="0"/>
      <w:contextualSpacing/>
    </w:pPr>
    <w:rPr/>
  </w:style>
  <w:style w:type="paragraph" w:styleId="ListContinue2">
    <w:name w:val="List Continue 2"/>
    <w:basedOn w:val="Normal"/>
    <w:uiPriority w:val="99"/>
    <w:unhideWhenUsed/>
    <w:qFormat/>
    <w:rsid w:val="0029639d"/>
    <w:pPr>
      <w:spacing w:before="0" w:after="120"/>
      <w:ind w:left="720" w:hanging="0"/>
      <w:contextualSpacing/>
    </w:pPr>
    <w:rPr/>
  </w:style>
  <w:style w:type="paragraph" w:styleId="ListContinue3">
    <w:name w:val="List Continue 3"/>
    <w:basedOn w:val="Normal"/>
    <w:uiPriority w:val="99"/>
    <w:unhideWhenUsed/>
    <w:qFormat/>
    <w:rsid w:val="0029639d"/>
    <w:pPr>
      <w:spacing w:before="0" w:after="120"/>
      <w:ind w:left="1080" w:hanging="0"/>
      <w:contextualSpacing/>
    </w:pPr>
    <w:rPr/>
  </w:style>
  <w:style w:type="paragraph" w:styleId="Macro">
    <w:name w:val="macro"/>
    <w:link w:val="MacroTextChar"/>
    <w:uiPriority w:val="99"/>
    <w:unhideWhenUsed/>
    <w:qFormat/>
    <w:rsid w:val="0029639d"/>
    <w:pPr>
      <w:widowControl/>
      <w:tabs>
        <w:tab w:val="clear" w:pos="720"/>
        <w:tab w:val="left" w:pos="576" w:leader="none"/>
        <w:tab w:val="left" w:pos="1152" w:leader="none"/>
        <w:tab w:val="left" w:pos="1728" w:leader="none"/>
        <w:tab w:val="left" w:pos="2304" w:leader="none"/>
        <w:tab w:val="left" w:pos="2880" w:leader="none"/>
        <w:tab w:val="left" w:pos="3456" w:leader="none"/>
        <w:tab w:val="left" w:pos="4032" w:leader="none"/>
      </w:tabs>
      <w:bidi w:val="0"/>
      <w:spacing w:lineRule="auto" w:line="276" w:before="0" w:after="200"/>
      <w:jc w:val="left"/>
    </w:pPr>
    <w:rPr>
      <w:rFonts w:ascii="Courier" w:hAnsi="Courier" w:eastAsia="ＭＳ 明朝" w:cs="" w:cstheme="minorBidi" w:eastAsiaTheme="minorEastAsia"/>
      <w:color w:val="auto"/>
      <w:kern w:val="0"/>
      <w:sz w:val="20"/>
      <w:szCs w:val="20"/>
      <w:lang w:val="en-US" w:eastAsia="en-US" w:bidi="ar-SA"/>
    </w:rPr>
  </w:style>
  <w:style w:type="paragraph" w:styleId="Quote">
    <w:name w:val="Quote"/>
    <w:basedOn w:val="Normal"/>
    <w:next w:val="Normal"/>
    <w:link w:val="QuoteChar"/>
    <w:uiPriority w:val="29"/>
    <w:qFormat/>
    <w:rsid w:val="00fc693f"/>
    <w:pPr/>
    <w:rPr>
      <w:i/>
      <w:iCs/>
      <w:color w:val="000000" w:themeColor="text1"/>
    </w:rPr>
  </w:style>
  <w:style w:type="paragraph" w:styleId="Caption">
    <w:name w:val="caption"/>
    <w:basedOn w:val="Normal"/>
    <w:next w:val="Normal"/>
    <w:uiPriority w:val="35"/>
    <w:semiHidden/>
    <w:unhideWhenUsed/>
    <w:qFormat/>
    <w:rsid w:val="00fc693f"/>
    <w:pPr>
      <w:spacing w:lineRule="auto" w:line="240"/>
    </w:pPr>
    <w:rPr>
      <w:b/>
      <w:bCs/>
      <w:color w:val="4F81BD" w:themeColor="accent1"/>
      <w:sz w:val="18"/>
      <w:szCs w:val="18"/>
    </w:rPr>
  </w:style>
  <w:style w:type="paragraph" w:styleId="IntenseQuote">
    <w:name w:val="Intense Quote"/>
    <w:basedOn w:val="Normal"/>
    <w:next w:val="Normal"/>
    <w:link w:val="IntenseQuoteChar"/>
    <w:uiPriority w:val="30"/>
    <w:qFormat/>
    <w:rsid w:val="00fc693f"/>
    <w:pPr>
      <w:pBdr>
        <w:bottom w:val="single" w:sz="4" w:space="4" w:color="4F81BD"/>
      </w:pBdr>
      <w:spacing w:before="200" w:after="280"/>
      <w:ind w:left="936" w:right="936" w:hanging="0"/>
    </w:pPr>
    <w:rPr>
      <w:b/>
      <w:bCs/>
      <w:i/>
      <w:iCs/>
      <w:color w:val="4F81BD" w:themeColor="accent1"/>
    </w:rPr>
  </w:style>
  <w:style w:type="paragraph" w:styleId="TOCHeading">
    <w:name w:val="TOC Heading"/>
    <w:basedOn w:val="1"/>
    <w:next w:val="Normal"/>
    <w:uiPriority w:val="39"/>
    <w:semiHidden/>
    <w:unhideWhenUsed/>
    <w:qFormat/>
    <w:rsid w:val="00fc693f"/>
    <w:pPr/>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table" w:styleId="TableGrid">
    <w:name w:val="Table Grid"/>
    <w:basedOn w:val="TableNormal"/>
    <w:uiPriority w:val="59"/>
    <w:rsid w:val="00fc693f"/>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Pr/>
    </w:tblStylePr>
    <w:tblStylePr w:type="lastCol">
      <w:rPr>
        <w:b/>
        <w:bCs/>
      </w:rPr>
      <w:tbl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Pr/>
    </w:tblStylePr>
    <w:tblStylePr w:type="lastCol">
      <w:rPr>
        <w:b/>
        <w:bCs/>
      </w:rPr>
      <w:tbl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Pr/>
    </w:tblStylePr>
    <w:tblStylePr w:type="lastCol">
      <w:rPr>
        <w:b/>
        <w:bCs/>
      </w:rPr>
      <w:tbl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Pr/>
    </w:tblStylePr>
    <w:tblStylePr w:type="lastCol">
      <w:rPr>
        <w:b/>
        <w:bCs/>
      </w:rPr>
      <w:tbl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Pr/>
    </w:tblStylePr>
    <w:tblStylePr w:type="lastCol">
      <w:rPr>
        <w:b/>
        <w:bCs/>
      </w:rPr>
      <w:tbl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Pr/>
    </w:tblStylePr>
    <w:tblStylePr w:type="lastCol">
      <w:rPr>
        <w:b/>
        <w:bCs/>
      </w:rPr>
      <w:tbl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Pr/>
    </w:tblStylePr>
    <w:tblStylePr w:type="lastCol">
      <w:rPr>
        <w:b/>
        <w:bCs/>
      </w:rPr>
      <w:tbl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404040" w:themeColor="text1" w:sz="8" w:space="0"/>
          <w:left w:val="single" w:color="404040" w:themeColor="text1" w:sz="8" w:space="0"/>
          <w:bottom w:val="single" w:color="404040" w:themeColor="text1" w:sz="8" w:space="0"/>
          <w:right w:val="single" w:color="404040" w:themeColor="text1"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sz="6" w:space="0"/>
          <w:left w:val="single" w:color="404040" w:themeColor="text1" w:sz="8" w:space="0"/>
          <w:bottom w:val="single" w:color="404040" w:themeColor="text1" w:sz="8" w:space="0"/>
          <w:right w:val="single" w:color="404040" w:themeColor="text1" w:sz="8" w:space="0"/>
          <w:insideH w:val="nil"/>
          <w:insideV w:val="nil"/>
        </w:tcBorders>
      </w:tcPr>
    </w:tblStylePr>
    <w:tblStylePr w:type="firstCol">
      <w:rPr>
        <w:b/>
        <w:bCs/>
      </w:rPr>
      <w:tblPr/>
    </w:tblStylePr>
    <w:tblStylePr w:type="lastCol">
      <w:rPr>
        <w:b/>
        <w:bCs/>
      </w:rPr>
      <w:tbl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BA0CD" w:themeColor="accent1" w:sz="8" w:space="0"/>
          <w:left w:val="single" w:color="7BA0CD" w:themeColor="accent1" w:sz="8" w:space="0"/>
          <w:bottom w:val="single" w:color="7BA0CD" w:themeColor="accent1" w:sz="8" w:space="0"/>
          <w:right w:val="single" w:color="7BA0CD" w:themeColor="accent1"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sz="6" w:space="0"/>
          <w:left w:val="single" w:color="7BA0CD" w:themeColor="accent1" w:sz="8" w:space="0"/>
          <w:bottom w:val="single" w:color="7BA0CD" w:themeColor="accent1" w:sz="8" w:space="0"/>
          <w:right w:val="single" w:color="7BA0CD" w:themeColor="accent1" w:sz="8" w:space="0"/>
          <w:insideH w:val="nil"/>
          <w:insideV w:val="nil"/>
        </w:tcBorders>
      </w:tcPr>
    </w:tblStylePr>
    <w:tblStylePr w:type="firstCol">
      <w:rPr>
        <w:b/>
        <w:bCs/>
      </w:rPr>
      <w:tblPr/>
    </w:tblStylePr>
    <w:tblStylePr w:type="lastCol">
      <w:rPr>
        <w:b/>
        <w:bCs/>
      </w:rPr>
      <w:tbl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CF7B79" w:themeColor="accent2" w:sz="8" w:space="0"/>
          <w:left w:val="single" w:color="CF7B79" w:themeColor="accent2" w:sz="8" w:space="0"/>
          <w:bottom w:val="single" w:color="CF7B79" w:themeColor="accent2" w:sz="8" w:space="0"/>
          <w:right w:val="single" w:color="CF7B79" w:themeColor="accent2"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sz="6" w:space="0"/>
          <w:left w:val="single" w:color="CF7B79" w:themeColor="accent2" w:sz="8" w:space="0"/>
          <w:bottom w:val="single" w:color="CF7B79" w:themeColor="accent2" w:sz="8" w:space="0"/>
          <w:right w:val="single" w:color="CF7B79" w:themeColor="accent2" w:sz="8" w:space="0"/>
          <w:insideH w:val="nil"/>
          <w:insideV w:val="nil"/>
        </w:tcBorders>
      </w:tcPr>
    </w:tblStylePr>
    <w:tblStylePr w:type="firstCol">
      <w:rPr>
        <w:b/>
        <w:bCs/>
      </w:rPr>
      <w:tblPr/>
    </w:tblStylePr>
    <w:tblStylePr w:type="lastCol">
      <w:rPr>
        <w:b/>
        <w:bCs/>
      </w:rPr>
      <w:tbl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B3CC82" w:themeColor="accent3" w:sz="8" w:space="0"/>
          <w:left w:val="single" w:color="B3CC82" w:themeColor="accent3" w:sz="8" w:space="0"/>
          <w:bottom w:val="single" w:color="B3CC82" w:themeColor="accent3" w:sz="8" w:space="0"/>
          <w:right w:val="single" w:color="B3CC82" w:themeColor="accent3"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sz="6" w:space="0"/>
          <w:left w:val="single" w:color="B3CC82" w:themeColor="accent3" w:sz="8" w:space="0"/>
          <w:bottom w:val="single" w:color="B3CC82" w:themeColor="accent3" w:sz="8" w:space="0"/>
          <w:right w:val="single" w:color="B3CC82" w:themeColor="accent3" w:sz="8" w:space="0"/>
          <w:insideH w:val="nil"/>
          <w:insideV w:val="nil"/>
        </w:tcBorders>
      </w:tcPr>
    </w:tblStylePr>
    <w:tblStylePr w:type="firstCol">
      <w:rPr>
        <w:b/>
        <w:bCs/>
      </w:rPr>
      <w:tblPr/>
    </w:tblStylePr>
    <w:tblStylePr w:type="lastCol">
      <w:rPr>
        <w:b/>
        <w:bCs/>
      </w:rPr>
      <w:tbl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9F8AB9" w:themeColor="accent4" w:sz="8" w:space="0"/>
          <w:left w:val="single" w:color="9F8AB9" w:themeColor="accent4" w:sz="8" w:space="0"/>
          <w:bottom w:val="single" w:color="9F8AB9" w:themeColor="accent4" w:sz="8" w:space="0"/>
          <w:right w:val="single" w:color="9F8AB9" w:themeColor="accent4"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sz="6" w:space="0"/>
          <w:left w:val="single" w:color="9F8AB9" w:themeColor="accent4" w:sz="8" w:space="0"/>
          <w:bottom w:val="single" w:color="9F8AB9" w:themeColor="accent4" w:sz="8" w:space="0"/>
          <w:right w:val="single" w:color="9F8AB9" w:themeColor="accent4" w:sz="8" w:space="0"/>
          <w:insideH w:val="nil"/>
          <w:insideV w:val="nil"/>
        </w:tcBorders>
      </w:tcPr>
    </w:tblStylePr>
    <w:tblStylePr w:type="firstCol">
      <w:rPr>
        <w:b/>
        <w:bCs/>
      </w:rPr>
      <w:tblPr/>
    </w:tblStylePr>
    <w:tblStylePr w:type="lastCol">
      <w:rPr>
        <w:b/>
        <w:bCs/>
      </w:rPr>
      <w:tbl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8C0D4" w:themeColor="accent5" w:sz="8" w:space="0"/>
          <w:left w:val="single" w:color="78C0D4" w:themeColor="accent5" w:sz="8" w:space="0"/>
          <w:bottom w:val="single" w:color="78C0D4" w:themeColor="accent5" w:sz="8" w:space="0"/>
          <w:right w:val="single" w:color="78C0D4" w:themeColor="accent5"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sz="6" w:space="0"/>
          <w:left w:val="single" w:color="78C0D4" w:themeColor="accent5" w:sz="8" w:space="0"/>
          <w:bottom w:val="single" w:color="78C0D4" w:themeColor="accent5" w:sz="8" w:space="0"/>
          <w:right w:val="single" w:color="78C0D4" w:themeColor="accent5" w:sz="8" w:space="0"/>
          <w:insideH w:val="nil"/>
          <w:insideV w:val="nil"/>
        </w:tcBorders>
      </w:tcPr>
    </w:tblStylePr>
    <w:tblStylePr w:type="firstCol">
      <w:rPr>
        <w:b/>
        <w:bCs/>
      </w:rPr>
      <w:tblPr/>
    </w:tblStylePr>
    <w:tblStylePr w:type="lastCol">
      <w:rPr>
        <w:b/>
        <w:bCs/>
      </w:rPr>
      <w:tbl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F9B074" w:themeColor="accent6" w:sz="8" w:space="0"/>
          <w:left w:val="single" w:color="F9B074" w:themeColor="accent6" w:sz="8" w:space="0"/>
          <w:bottom w:val="single" w:color="F9B074" w:themeColor="accent6" w:sz="8" w:space="0"/>
          <w:right w:val="single" w:color="F9B074" w:themeColor="accent6"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sz="6" w:space="0"/>
          <w:left w:val="single" w:color="F9B074" w:themeColor="accent6" w:sz="8" w:space="0"/>
          <w:bottom w:val="single" w:color="F9B074" w:themeColor="accent6" w:sz="8" w:space="0"/>
          <w:right w:val="single" w:color="F9B074" w:themeColor="accent6" w:sz="8" w:space="0"/>
          <w:insideH w:val="nil"/>
          <w:insideV w:val="nil"/>
        </w:tcBorders>
      </w:tcPr>
    </w:tblStylePr>
    <w:tblStylePr w:type="firstCol">
      <w:rPr>
        <w:b/>
        <w:bCs/>
      </w:rPr>
      <w:tblPr/>
    </w:tblStylePr>
    <w:tblStylePr w:type="lastCol">
      <w:rPr>
        <w:b/>
        <w:bCs/>
      </w:rPr>
      <w:tbl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CellMar>
        <w:top w:w="0" w:type="dxa"/>
        <w:left w:w="108" w:type="dxa"/>
        <w:bottom w:w="0" w:type="dxa"/>
        <w:right w:w="108" w:type="dxa"/>
      </w:tblCellMar>
    </w:tblPr>
    <w:tcPr>
      <w:shd w:val="clear" w:color="auto" w:fill="C0C0C0" w:themeFill="text1" w:themeFillTint="3f"/>
    </w:tcPr>
    <w:tblStylePr w:type="firstRow">
      <w:rPr>
        <w:b/>
        <w:bCs/>
      </w:rPr>
      <w:tblPr/>
    </w:tblStylePr>
    <w:tblStylePr w:type="lastRow">
      <w:rPr>
        <w:b/>
        <w:bCs/>
      </w:rPr>
      <w:tblPr/>
      <w:tcPr>
        <w:tcBorders>
          <w:top w:val="single" w:color="404040" w:themeColor="text1" w:sz="18" w:space="0"/>
        </w:tcBorders>
      </w:tcPr>
    </w:tblStylePr>
    <w:tblStylePr w:type="firstCol">
      <w:rPr>
        <w:b/>
        <w:bCs/>
      </w:rPr>
      <w:tblPr/>
    </w:tblStylePr>
    <w:tblStylePr w:type="lastCol">
      <w:rPr>
        <w:b/>
        <w:bCs/>
      </w:rPr>
      <w:tbl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Pr/>
    </w:tblStylePr>
    <w:tblStylePr w:type="lastRow">
      <w:rPr>
        <w:b/>
        <w:bCs/>
      </w:rPr>
      <w:tblPr/>
      <w:tcPr>
        <w:tcBorders>
          <w:top w:val="single" w:color="7BA0CD" w:themeColor="accent1" w:sz="18" w:space="0"/>
        </w:tcBorders>
      </w:tcPr>
    </w:tblStylePr>
    <w:tblStylePr w:type="firstCol">
      <w:rPr>
        <w:b/>
        <w:bCs/>
      </w:rPr>
      <w:tblPr/>
    </w:tblStylePr>
    <w:tblStylePr w:type="lastCol">
      <w:rPr>
        <w:b/>
        <w:bCs/>
      </w:rPr>
      <w:tbl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2" w:themeFill="accent2" w:themeFillTint="3f"/>
    </w:tcPr>
    <w:tblStylePr w:type="firstRow">
      <w:rPr>
        <w:b/>
        <w:bCs/>
      </w:rPr>
      <w:tblPr/>
    </w:tblStylePr>
    <w:tblStylePr w:type="lastRow">
      <w:rPr>
        <w:b/>
        <w:bCs/>
      </w:rPr>
      <w:tblPr/>
      <w:tcPr>
        <w:tcBorders>
          <w:top w:val="single" w:color="CF7B79" w:themeColor="accent2" w:sz="18" w:space="0"/>
        </w:tcBorders>
      </w:tcPr>
    </w:tblStylePr>
    <w:tblStylePr w:type="firstCol">
      <w:rPr>
        <w:b/>
        <w:bCs/>
      </w:rPr>
      <w:tblPr/>
    </w:tblStylePr>
    <w:tblStylePr w:type="lastCol">
      <w:rPr>
        <w:b/>
        <w:bCs/>
      </w:rPr>
      <w:tbl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Pr/>
    </w:tblStylePr>
    <w:tblStylePr w:type="lastRow">
      <w:rPr>
        <w:b/>
        <w:bCs/>
      </w:rPr>
      <w:tblPr/>
      <w:tcPr>
        <w:tcBorders>
          <w:top w:val="single" w:color="B3CC82" w:themeColor="accent3" w:sz="18" w:space="0"/>
        </w:tcBorders>
      </w:tcPr>
    </w:tblStylePr>
    <w:tblStylePr w:type="firstCol">
      <w:rPr>
        <w:b/>
        <w:bCs/>
      </w:rPr>
      <w:tblPr/>
    </w:tblStylePr>
    <w:tblStylePr w:type="lastCol">
      <w:rPr>
        <w:b/>
        <w:bCs/>
      </w:rPr>
      <w:tbl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Pr/>
    </w:tblStylePr>
    <w:tblStylePr w:type="lastRow">
      <w:rPr>
        <w:b/>
        <w:bCs/>
      </w:rPr>
      <w:tblPr/>
      <w:tcPr>
        <w:tcBorders>
          <w:top w:val="single" w:color="9F8AB9" w:themeColor="accent4" w:sz="18" w:space="0"/>
        </w:tcBorders>
      </w:tcPr>
    </w:tblStylePr>
    <w:tblStylePr w:type="firstCol">
      <w:rPr>
        <w:b/>
        <w:bCs/>
      </w:rPr>
      <w:tblPr/>
    </w:tblStylePr>
    <w:tblStylePr w:type="lastCol">
      <w:rPr>
        <w:b/>
        <w:bCs/>
      </w:rPr>
      <w:tbl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1" w:themeFill="accent5" w:themeFillTint="3f"/>
    </w:tcPr>
    <w:tblStylePr w:type="firstRow">
      <w:rPr>
        <w:b/>
        <w:bCs/>
      </w:rPr>
      <w:tblPr/>
    </w:tblStylePr>
    <w:tblStylePr w:type="lastRow">
      <w:rPr>
        <w:b/>
        <w:bCs/>
      </w:rPr>
      <w:tblPr/>
      <w:tcPr>
        <w:tcBorders>
          <w:top w:val="single" w:color="78C0D4" w:themeColor="accent5" w:sz="18" w:space="0"/>
        </w:tcBorders>
      </w:tcPr>
    </w:tblStylePr>
    <w:tblStylePr w:type="firstCol">
      <w:rPr>
        <w:b/>
        <w:bCs/>
      </w:rPr>
      <w:tblPr/>
    </w:tblStylePr>
    <w:tblStylePr w:type="lastCol">
      <w:rPr>
        <w:b/>
        <w:bCs/>
      </w:rPr>
      <w:tbl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4D0" w:themeFill="accent6" w:themeFillTint="3f"/>
    </w:tcPr>
    <w:tblStylePr w:type="firstRow">
      <w:rPr>
        <w:b/>
        <w:bCs/>
      </w:rPr>
      <w:tblPr/>
    </w:tblStylePr>
    <w:tblStylePr w:type="lastRow">
      <w:rPr>
        <w:b/>
        <w:bCs/>
      </w:rPr>
      <w:tblPr/>
      <w:tcPr>
        <w:tcBorders>
          <w:top w:val="single" w:color="F9B074" w:themeColor="accent6" w:sz="18" w:space="0"/>
        </w:tcBorders>
      </w:tcPr>
    </w:tblStylePr>
    <w:tblStylePr w:type="firstCol">
      <w:rPr>
        <w:b/>
        <w:bCs/>
      </w:rPr>
      <w:tblPr/>
    </w:tblStylePr>
    <w:tblStylePr w:type="lastCol">
      <w:rPr>
        <w:b/>
        <w:bCs/>
      </w:rPr>
      <w:tbl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C0C0C0" w:themeFill="text1"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2" w:themeFill="accent2"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1" w:themeFill="accent5"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4D0" w:themeFill="accent6"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Pr/>
    </w:tblStylePr>
    <w:tblStylePr w:type="nwCell">
      <w:rPr>
        <w:color w:val="000000" w:themeColor="text1"/>
      </w:rPr>
      <w:tbl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Pr/>
    </w:tblStylePr>
    <w:tblStylePr w:type="nwCell">
      <w:rPr>
        <w:color w:val="000000" w:themeColor="text1"/>
      </w:rPr>
      <w:tbl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Pr/>
    </w:tblStylePr>
    <w:tblStylePr w:type="nwCell">
      <w:rPr>
        <w:color w:val="000000" w:themeColor="text1"/>
      </w:rPr>
      <w:tbl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Pr/>
    </w:tblStylePr>
    <w:tblStylePr w:type="nwCell">
      <w:rPr>
        <w:color w:val="000000" w:themeColor="text1"/>
      </w:rPr>
      <w:tbl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Pr/>
    </w:tblStylePr>
    <w:tblStylePr w:type="nwCell">
      <w:rPr>
        <w:color w:val="000000" w:themeColor="text1"/>
      </w:rPr>
      <w:tbl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Pr/>
    </w:tblStylePr>
    <w:tblStylePr w:type="nwCell">
      <w:rPr>
        <w:color w:val="000000" w:themeColor="text1"/>
      </w:rPr>
      <w:tbl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customXml" Target="../customXml/item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Application>LibreOffice/6.4.5.2$Windows_x86 LibreOffice_project/a726b36747cf2001e06b58ad5db1aa3a9a1872d6</Application>
  <Pages>3</Pages>
  <Words>1058</Words>
  <Characters>6185</Characters>
  <CharactersWithSpaces>7160</CharactersWithSpaces>
  <Paragraphs>81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dc:language>el-GR</dc:language>
  <cp:lastModifiedBy/>
  <dcterms:modified xsi:type="dcterms:W3CDTF">2026-09-28T10:05:01Z</dcterms:modified>
  <cp:revision>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